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widowControl w:val="off"/>
        <w:rPr>
          <w:b/>
          <w:color w:val="000000"/>
          <w:sz w:val="26"/>
          <w:szCs w:val="26"/>
          <w:highlight w:val="white"/>
        </w:rPr>
        <w:outlineLvl w:val="0"/>
      </w:pPr>
      <w:r>
        <w:rPr>
          <w:b/>
          <w:sz w:val="26"/>
          <w:szCs w:val="26"/>
          <w:highlight w:val="white"/>
        </w:rPr>
        <w:t xml:space="preserve">Протокол </w:t>
      </w:r>
      <w:r>
        <w:rPr>
          <w:b/>
          <w:sz w:val="26"/>
          <w:szCs w:val="26"/>
          <w:highlight w:val="white"/>
        </w:rPr>
        <w:t xml:space="preserve">№</w:t>
      </w:r>
      <w:r>
        <w:rPr>
          <w:b/>
          <w:sz w:val="26"/>
          <w:szCs w:val="26"/>
          <w:highlight w:val="white"/>
        </w:rPr>
        <w:t xml:space="preserve"> </w:t>
      </w:r>
      <w:r>
        <w:rPr>
          <w:b/>
          <w:sz w:val="26"/>
          <w:szCs w:val="26"/>
          <w:highlight w:val="white"/>
        </w:rPr>
        <w:t xml:space="preserve">2</w:t>
      </w:r>
      <w:r>
        <w:rPr>
          <w:b/>
          <w:color w:val="000000"/>
          <w:sz w:val="26"/>
          <w:szCs w:val="26"/>
          <w:highlight w:val="white"/>
        </w:rPr>
      </w:r>
      <w:r>
        <w:rPr>
          <w:b/>
          <w:color w:val="000000"/>
          <w:sz w:val="26"/>
          <w:szCs w:val="26"/>
          <w:highlight w:val="white"/>
        </w:rPr>
      </w:r>
    </w:p>
    <w:p>
      <w:pPr>
        <w:ind w:firstLine="0"/>
        <w:jc w:val="center"/>
        <w:spacing w:line="240" w:lineRule="auto"/>
        <w:widowControl w:val="off"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заочного заседания закупочной комиссии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jc w:val="center"/>
        <w:spacing w:line="240" w:lineRule="auto"/>
        <w:widowControl w:val="off"/>
        <w:rPr>
          <w:b/>
          <w:sz w:val="26"/>
          <w:szCs w:val="26"/>
        </w:rPr>
        <w:outlineLvl w:val="0"/>
      </w:pPr>
      <w:r>
        <w:rPr>
          <w:b/>
          <w:sz w:val="26"/>
          <w:szCs w:val="26"/>
        </w:rPr>
        <w:t xml:space="preserve">по рас</w:t>
      </w:r>
      <w:r>
        <w:rPr>
          <w:b/>
          <w:sz w:val="26"/>
          <w:szCs w:val="26"/>
        </w:rPr>
        <w:t xml:space="preserve">смотрению заявок </w:t>
      </w:r>
      <w:r>
        <w:rPr>
          <w:b/>
          <w:sz w:val="26"/>
          <w:szCs w:val="26"/>
        </w:rPr>
        <w:t xml:space="preserve">и подведению итогов</w:t>
      </w:r>
      <w:r>
        <w:rPr>
          <w:b/>
          <w:sz w:val="26"/>
          <w:szCs w:val="26"/>
        </w:rPr>
        <w:t xml:space="preserve"> закупки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spacing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spacing w:line="240" w:lineRule="auto"/>
        <w:widowControl w:val="off"/>
        <w:rPr>
          <w:sz w:val="26"/>
          <w:szCs w:val="26"/>
        </w:rPr>
      </w:pPr>
      <w:r>
        <w:rPr>
          <w:sz w:val="26"/>
          <w:szCs w:val="26"/>
        </w:rPr>
        <w:t xml:space="preserve">г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t xml:space="preserve"> Калининград</w:t>
      </w:r>
      <w:r>
        <w:rPr>
          <w:sz w:val="26"/>
          <w:szCs w:val="26"/>
        </w:rPr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ab/>
      </w: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 xml:space="preserve">«14</w:t>
      </w:r>
      <w:r>
        <w:rPr>
          <w:sz w:val="26"/>
          <w:szCs w:val="26"/>
        </w:rPr>
        <w:t xml:space="preserve">» ноября </w:t>
      </w:r>
      <w:r>
        <w:rPr>
          <w:sz w:val="26"/>
          <w:szCs w:val="26"/>
        </w:rPr>
        <w:t xml:space="preserve">202</w:t>
      </w:r>
      <w:r>
        <w:rPr>
          <w:sz w:val="26"/>
          <w:szCs w:val="26"/>
        </w:rPr>
        <w:t xml:space="preserve">5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Дата заседания Закупочной комиссии: 14</w:t>
      </w:r>
      <w:r>
        <w:rPr>
          <w:sz w:val="26"/>
          <w:szCs w:val="26"/>
        </w:rPr>
        <w:t xml:space="preserve">.11.2025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spacing w:line="240" w:lineRule="auto"/>
        <w:widowControl w:val="off"/>
        <w:tabs>
          <w:tab w:val="left" w:pos="9020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Дата подписания Протокола: 14</w:t>
      </w:r>
      <w:r>
        <w:rPr>
          <w:sz w:val="26"/>
          <w:szCs w:val="26"/>
        </w:rPr>
        <w:t xml:space="preserve">.11.2025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firstLine="0"/>
        <w:spacing w:line="240" w:lineRule="auto"/>
        <w:widowControl w:val="off"/>
        <w:rPr>
          <w:b/>
          <w:caps/>
          <w:sz w:val="26"/>
          <w:szCs w:val="26"/>
        </w:rPr>
      </w:pPr>
      <w:r>
        <w:rPr>
          <w:b/>
          <w:caps/>
          <w:sz w:val="26"/>
          <w:szCs w:val="26"/>
        </w:rPr>
      </w:r>
      <w:r>
        <w:rPr>
          <w:b/>
          <w:caps/>
          <w:sz w:val="26"/>
          <w:szCs w:val="26"/>
        </w:rPr>
      </w:r>
      <w:r>
        <w:rPr>
          <w:b/>
          <w:caps/>
          <w:sz w:val="26"/>
          <w:szCs w:val="26"/>
        </w:rPr>
      </w:r>
    </w:p>
    <w:p>
      <w:pPr>
        <w:ind w:firstLine="0"/>
        <w:spacing w:line="240" w:lineRule="auto"/>
        <w:widowControl w:val="off"/>
        <w:tabs>
          <w:tab w:val="left" w:pos="851" w:leader="none"/>
          <w:tab w:val="num" w:pos="2127" w:leader="none"/>
        </w:tabs>
        <w:rPr>
          <w:b/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ПРЕДМЕТ И НАИМЕНОВАНИЕ ЗАКУПКИ</w:t>
      </w:r>
      <w:r>
        <w:rPr>
          <w:b/>
          <w:sz w:val="26"/>
          <w:szCs w:val="26"/>
        </w:rPr>
        <w:t xml:space="preserve">: 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pStyle w:val="942"/>
        <w:ind w:firstLine="0"/>
        <w:spacing w:line="240" w:lineRule="auto"/>
        <w:tabs>
          <w:tab w:val="left" w:pos="851" w:leader="none"/>
        </w:tabs>
      </w:pPr>
      <w:r>
        <w:rPr>
          <w:sz w:val="26"/>
          <w:szCs w:val="26"/>
          <w:shd w:val="clear" w:color="auto" w:fill="ffffff"/>
        </w:rPr>
        <w:t xml:space="preserve">Закупка в электронном магазине, участниками которого могут быть только субъекты малого и среднего предпринимательства на право заключения договора по титулу: </w:t>
      </w:r>
      <w:r>
        <w:rPr>
          <w:b/>
          <w:bCs/>
          <w:sz w:val="26"/>
          <w:szCs w:val="26"/>
          <w:shd w:val="clear" w:color="auto" w:fill="ffffff"/>
        </w:rPr>
        <w:t xml:space="preserve">Поставка материалов по пожарной безопасности</w:t>
      </w:r>
      <w:r>
        <w:rPr>
          <w:sz w:val="26"/>
          <w:szCs w:val="26"/>
          <w:shd w:val="clear" w:color="auto" w:fill="ffffff"/>
        </w:rPr>
        <w:t xml:space="preserve">  (далее – Закупка).</w:t>
      </w:r>
      <w:r>
        <w:rPr>
          <w:sz w:val="26"/>
          <w:szCs w:val="26"/>
          <w:shd w:val="clear" w:color="auto" w:fill="ffffff"/>
        </w:rPr>
      </w:r>
    </w:p>
    <w:p>
      <w:pPr>
        <w:pStyle w:val="942"/>
        <w:ind w:firstLine="0"/>
        <w:spacing w:line="240" w:lineRule="auto"/>
        <w:tabs>
          <w:tab w:val="left" w:pos="851" w:leader="none"/>
        </w:tabs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Порядковый номер закупки в Плане закупки товаров, работ, услуг для нужд Общества на 2025 год – №476.</w:t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  <w:shd w:val="clear" w:color="auto" w:fill="ffffff"/>
        </w:rPr>
      </w:r>
      <w:r>
        <w:rPr>
          <w:sz w:val="26"/>
          <w:szCs w:val="26"/>
        </w:rPr>
      </w:r>
    </w:p>
    <w:p>
      <w:pPr>
        <w:pStyle w:val="942"/>
        <w:ind w:firstLine="0"/>
        <w:spacing w:line="240" w:lineRule="auto"/>
        <w:tabs>
          <w:tab w:val="left" w:pos="851" w:leader="none"/>
        </w:tabs>
      </w:pPr>
      <w:r>
        <w:rPr>
          <w:i/>
          <w:sz w:val="26"/>
          <w:szCs w:val="26"/>
        </w:rPr>
        <w:t xml:space="preserve">Официальное Извещение о проведении закупки размещено (опубликовано) в единой информационной системе в сфере закупок п</w:t>
      </w:r>
      <w:r>
        <w:rPr>
          <w:i/>
          <w:iCs/>
          <w:sz w:val="26"/>
          <w:szCs w:val="26"/>
        </w:rPr>
        <w:t xml:space="preserve">о адресу в сети Интернет «www.zakupki.gov.ru» от «07</w:t>
      </w:r>
      <w:r>
        <w:rPr>
          <w:i/>
          <w:iCs/>
          <w:sz w:val="26"/>
          <w:szCs w:val="26"/>
        </w:rPr>
        <w:t xml:space="preserve">» ноября</w:t>
      </w:r>
      <w:r>
        <w:rPr>
          <w:i/>
          <w:iCs/>
          <w:sz w:val="26"/>
          <w:szCs w:val="26"/>
        </w:rPr>
        <w:t xml:space="preserve"> 2025</w:t>
      </w:r>
      <w:r>
        <w:rPr>
          <w:i/>
          <w:iCs/>
          <w:sz w:val="26"/>
          <w:szCs w:val="26"/>
        </w:rPr>
        <w:t xml:space="preserve"> года (извещение №</w:t>
      </w:r>
      <w:r>
        <w:rPr>
          <w:i/>
          <w:iCs/>
          <w:sz w:val="26"/>
          <w:szCs w:val="26"/>
        </w:rPr>
        <w:t xml:space="preserve"> </w:t>
      </w:r>
      <w:r>
        <w:rPr>
          <w:i/>
          <w:iCs/>
          <w:sz w:val="26"/>
          <w:szCs w:val="26"/>
        </w:rPr>
        <w:t xml:space="preserve">32515380280</w:t>
      </w:r>
      <w:r>
        <w:rPr>
          <w:i/>
          <w:iCs/>
          <w:sz w:val="26"/>
          <w:szCs w:val="26"/>
        </w:rPr>
        <w:t xml:space="preserve">)</w:t>
      </w:r>
      <w:r>
        <w:rPr>
          <w:i/>
          <w:iCs/>
          <w:sz w:val="26"/>
          <w:szCs w:val="26"/>
        </w:rPr>
        <w:t xml:space="preserve">,</w:t>
      </w:r>
      <w:r>
        <w:rPr>
          <w:i/>
          <w:sz w:val="26"/>
          <w:szCs w:val="26"/>
        </w:rPr>
        <w:t xml:space="preserve"> закупка опубликована на электронной торговой площадке </w:t>
      </w:r>
      <w:r>
        <w:rPr>
          <w:i/>
          <w:sz w:val="26"/>
          <w:szCs w:val="26"/>
        </w:rPr>
        <w:t xml:space="preserve">«www.tender.lot-online.ru»</w:t>
      </w:r>
      <w:r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RAD250015833</w:t>
      </w:r>
      <w:r>
        <w:rPr>
          <w:i/>
          <w:sz w:val="26"/>
          <w:szCs w:val="26"/>
        </w:rPr>
        <w:t xml:space="preserve">.</w:t>
      </w:r>
      <w:r/>
      <w:r>
        <w:rPr>
          <w:sz w:val="26"/>
          <w:szCs w:val="26"/>
        </w:rPr>
      </w:r>
    </w:p>
    <w:p>
      <w:pPr>
        <w:ind w:firstLine="0"/>
        <w:spacing w:line="240" w:lineRule="auto"/>
        <w:tabs>
          <w:tab w:val="left" w:pos="1134" w:leader="none"/>
        </w:tabs>
        <w:rPr>
          <w:b/>
          <w:bCs/>
          <w:sz w:val="26"/>
          <w:szCs w:val="26"/>
          <w:u w:val="single"/>
        </w:rPr>
      </w:pPr>
      <w:r>
        <w:rPr>
          <w:b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u w:val="single"/>
        </w:rPr>
      </w:r>
      <w:r>
        <w:rPr>
          <w:b/>
          <w:bCs/>
          <w:sz w:val="26"/>
          <w:szCs w:val="26"/>
          <w:u w:val="single"/>
        </w:rPr>
      </w:r>
    </w:p>
    <w:p>
      <w:pPr>
        <w:pStyle w:val="942"/>
        <w:ind w:firstLine="0"/>
        <w:spacing w:line="240" w:lineRule="auto"/>
        <w:tabs>
          <w:tab w:val="left" w:pos="1134" w:leader="none"/>
        </w:tabs>
        <w:rPr>
          <w:b/>
          <w:bCs/>
          <w:sz w:val="26"/>
          <w:szCs w:val="26"/>
          <w:highlight w:val="none"/>
          <w:u w:val="single"/>
        </w:rPr>
      </w:pPr>
      <w:r>
        <w:rPr>
          <w:b/>
          <w:sz w:val="26"/>
          <w:szCs w:val="26"/>
          <w:u w:val="single"/>
        </w:rPr>
        <w:t xml:space="preserve">НАЧАЛЬНАЯ (МАКСИМАЛЬНАЯ) ЦЕНА ДОГОВОРА (ЛОТА): </w:t>
      </w:r>
      <w:r>
        <w:rPr>
          <w:b/>
          <w:bCs/>
          <w:sz w:val="26"/>
          <w:szCs w:val="26"/>
          <w:highlight w:val="none"/>
          <w:u w:val="single"/>
        </w:rPr>
      </w:r>
      <w:r>
        <w:rPr>
          <w:b/>
          <w:bCs/>
          <w:sz w:val="26"/>
          <w:szCs w:val="26"/>
          <w:highlight w:val="none"/>
          <w:u w:val="single"/>
        </w:rPr>
      </w:r>
    </w:p>
    <w:p>
      <w:pPr>
        <w:pStyle w:val="942"/>
        <w:ind w:firstLine="0"/>
        <w:spacing w:line="240" w:lineRule="auto"/>
        <w:tabs>
          <w:tab w:val="num" w:pos="709" w:leader="none"/>
        </w:tabs>
      </w:pPr>
      <w:r>
        <w:rPr>
          <w:sz w:val="26"/>
          <w:szCs w:val="26"/>
        </w:rPr>
        <w:t xml:space="preserve">1 122 960,00 руб. без учета НДС/1 347 552,00 руб. с НДС.</w:t>
      </w:r>
      <w:r>
        <w:rPr>
          <w:sz w:val="26"/>
          <w:szCs w:val="26"/>
        </w:rPr>
      </w:r>
    </w:p>
    <w:p>
      <w:pPr>
        <w:pStyle w:val="942"/>
        <w:ind w:firstLine="0"/>
        <w:spacing w:line="240" w:lineRule="auto"/>
        <w:tabs>
          <w:tab w:val="num" w:pos="709" w:leader="none"/>
        </w:tabs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42"/>
        <w:ind w:firstLine="0"/>
        <w:spacing w:line="240" w:lineRule="auto"/>
        <w:tabs>
          <w:tab w:val="num" w:pos="709" w:leader="none"/>
        </w:tabs>
        <w:rPr>
          <w:b/>
          <w:bCs/>
          <w:u w:val="single"/>
        </w:rPr>
      </w:pPr>
      <w:r>
        <w:rPr>
          <w:b/>
          <w:bCs/>
          <w:sz w:val="26"/>
          <w:szCs w:val="26"/>
          <w:u w:val="single"/>
        </w:rPr>
        <w:t xml:space="preserve">СОСТАВ ЗАКУПОЧНОЙ КОМИССИИ:</w:t>
      </w:r>
      <w:r>
        <w:rPr>
          <w:b/>
          <w:bCs/>
          <w:sz w:val="26"/>
          <w:szCs w:val="26"/>
          <w:u w:val="single"/>
        </w:rPr>
      </w:r>
    </w:p>
    <w:p>
      <w:pPr>
        <w:pStyle w:val="942"/>
        <w:ind w:firstLine="0"/>
        <w:spacing w:line="240" w:lineRule="auto"/>
        <w:tabs>
          <w:tab w:val="num" w:pos="709" w:leader="none"/>
        </w:tabs>
      </w:pPr>
      <w:r>
        <w:rPr>
          <w:sz w:val="26"/>
          <w:szCs w:val="26"/>
        </w:rPr>
        <w:t xml:space="preserve">Состав Закупочной комиссии утвержден приказом АО «Россети Янтарь» от 08.04.2025 г. №98.</w:t>
      </w:r>
      <w:r>
        <w:rPr>
          <w:sz w:val="26"/>
          <w:szCs w:val="26"/>
        </w:rPr>
      </w:r>
    </w:p>
    <w:p>
      <w:pPr>
        <w:pStyle w:val="942"/>
        <w:ind w:firstLine="0"/>
        <w:spacing w:line="240" w:lineRule="auto"/>
        <w:tabs>
          <w:tab w:val="num" w:pos="709" w:leader="none"/>
        </w:tabs>
      </w:pPr>
      <w:r>
        <w:rPr>
          <w:sz w:val="26"/>
          <w:szCs w:val="26"/>
        </w:rPr>
        <w:t xml:space="preserve">Кворум имеется. Закупочная комиссия правомочна принимать решения.</w:t>
      </w:r>
      <w:r>
        <w:rPr>
          <w:sz w:val="26"/>
          <w:szCs w:val="26"/>
        </w:rPr>
      </w:r>
    </w:p>
    <w:p>
      <w:pPr>
        <w:pStyle w:val="942"/>
        <w:ind w:firstLine="0"/>
        <w:spacing w:line="240" w:lineRule="auto"/>
        <w:tabs>
          <w:tab w:val="num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Место проведения заседания Закупочной комиссии: 236022, обл. Калининградская, г. Калининград, ул. Театральная, д. 3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54"/>
        <w:spacing w:before="0" w:line="240" w:lineRule="auto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pStyle w:val="1054"/>
        <w:spacing w:before="0" w:line="240" w:lineRule="auto"/>
        <w:tabs>
          <w:tab w:val="left" w:pos="851" w:leader="none"/>
          <w:tab w:val="num" w:pos="2127" w:leader="none"/>
        </w:tabs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СВЕДЕНИЯ О ЗАЯВКАХ ПОСТУПИВШИХ НА УЧАСТИЕ В ЗАКУПКЕ: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pStyle w:val="942"/>
        <w:ind w:firstLine="0"/>
        <w:spacing w:line="240" w:lineRule="auto"/>
        <w:tabs>
          <w:tab w:val="left" w:pos="567" w:leader="none"/>
          <w:tab w:val="num" w:pos="709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В рамках процедуры закупки в срок до </w:t>
      </w:r>
      <w:r>
        <w:rPr>
          <w:b/>
          <w:bCs/>
          <w:sz w:val="26"/>
          <w:szCs w:val="26"/>
        </w:rPr>
        <w:t xml:space="preserve">11</w:t>
      </w:r>
      <w:r>
        <w:rPr>
          <w:b w:val="0"/>
          <w:bCs w:val="0"/>
          <w:sz w:val="26"/>
          <w:szCs w:val="26"/>
        </w:rPr>
        <w:t xml:space="preserve">.</w:t>
      </w:r>
      <w:r>
        <w:rPr>
          <w:b/>
          <w:bCs/>
          <w:sz w:val="26"/>
          <w:szCs w:val="26"/>
        </w:rPr>
        <w:t xml:space="preserve">11</w:t>
      </w:r>
      <w:r>
        <w:rPr>
          <w:b/>
          <w:bCs/>
          <w:sz w:val="26"/>
          <w:szCs w:val="26"/>
        </w:rPr>
        <w:t xml:space="preserve">.</w:t>
      </w:r>
      <w:r>
        <w:rPr>
          <w:b/>
          <w:sz w:val="26"/>
          <w:szCs w:val="26"/>
        </w:rPr>
        <w:t xml:space="preserve">2025</w:t>
      </w:r>
      <w:r>
        <w:rPr>
          <w:b/>
          <w:sz w:val="26"/>
          <w:szCs w:val="26"/>
        </w:rPr>
        <w:t xml:space="preserve"> 11:00 (MCK-1)</w:t>
      </w:r>
      <w:r>
        <w:rPr>
          <w:sz w:val="26"/>
          <w:szCs w:val="26"/>
        </w:rPr>
        <w:t xml:space="preserve"> поступил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 заявк</w:t>
      </w:r>
      <w:r>
        <w:rPr>
          <w:sz w:val="26"/>
          <w:szCs w:val="26"/>
        </w:rPr>
        <w:t xml:space="preserve">а</w:t>
      </w:r>
      <w:r>
        <w:rPr>
          <w:sz w:val="26"/>
          <w:szCs w:val="26"/>
        </w:rPr>
        <w:t xml:space="preserve"> от </w:t>
      </w:r>
      <w:r>
        <w:rPr>
          <w:b/>
          <w:bCs/>
          <w:sz w:val="26"/>
          <w:szCs w:val="26"/>
        </w:rPr>
        <w:t xml:space="preserve">1</w:t>
      </w:r>
      <w:r>
        <w:rPr>
          <w:b/>
          <w:bCs/>
          <w:sz w:val="26"/>
          <w:szCs w:val="26"/>
        </w:rPr>
        <w:t xml:space="preserve"> </w:t>
      </w:r>
      <w:r>
        <w:rPr>
          <w:b/>
          <w:sz w:val="26"/>
          <w:szCs w:val="26"/>
        </w:rPr>
        <w:t xml:space="preserve">(одного) </w:t>
      </w:r>
      <w:r>
        <w:rPr>
          <w:b/>
          <w:sz w:val="26"/>
          <w:szCs w:val="26"/>
        </w:rPr>
        <w:t xml:space="preserve">участника</w:t>
      </w:r>
      <w:r>
        <w:rPr>
          <w:b/>
          <w:sz w:val="26"/>
          <w:szCs w:val="26"/>
        </w:rPr>
        <w:t xml:space="preserve">,</w:t>
      </w:r>
      <w:r>
        <w:rPr>
          <w:sz w:val="26"/>
          <w:szCs w:val="26"/>
        </w:rPr>
        <w:t xml:space="preserve"> размещенн</w:t>
      </w:r>
      <w:r>
        <w:rPr>
          <w:sz w:val="26"/>
          <w:szCs w:val="26"/>
        </w:rPr>
        <w:t xml:space="preserve">ая</w:t>
      </w:r>
      <w:r>
        <w:rPr>
          <w:sz w:val="26"/>
          <w:szCs w:val="26"/>
        </w:rPr>
        <w:t xml:space="preserve"> на ЭТП «www.tender.lot-online.ru» под следующим</w:t>
      </w:r>
      <w:r>
        <w:rPr>
          <w:sz w:val="26"/>
          <w:szCs w:val="26"/>
        </w:rPr>
        <w:t xml:space="preserve">и</w:t>
      </w:r>
      <w:r>
        <w:rPr>
          <w:sz w:val="26"/>
          <w:szCs w:val="26"/>
        </w:rPr>
        <w:t xml:space="preserve"> рег. номер</w:t>
      </w:r>
      <w:r>
        <w:rPr>
          <w:sz w:val="26"/>
          <w:szCs w:val="26"/>
        </w:rPr>
        <w:t xml:space="preserve">ами</w:t>
      </w:r>
      <w:r>
        <w:rPr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W w:w="10206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049"/>
        <w:gridCol w:w="4196"/>
        <w:gridCol w:w="4961"/>
      </w:tblGrid>
      <w:tr>
        <w:tblPrEx/>
        <w:trPr>
          <w:trHeight w:val="20"/>
        </w:trPr>
        <w:tc>
          <w:tcPr>
            <w:tcW w:w="1049" w:type="dxa"/>
            <w:vAlign w:val="center"/>
            <w:textDirection w:val="lrTb"/>
            <w:noWrap w:val="false"/>
          </w:tcPr>
          <w:p>
            <w:pPr>
              <w:pStyle w:val="942"/>
              <w:ind w:firstLine="0"/>
              <w:jc w:val="center"/>
              <w:spacing w:line="28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 xml:space="preserve">№ </w:t>
            </w:r>
            <w:r>
              <w:rPr>
                <w:b/>
                <w:sz w:val="26"/>
                <w:szCs w:val="26"/>
              </w:rPr>
              <w:t xml:space="preserve">п/п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4196" w:type="dxa"/>
            <w:vAlign w:val="center"/>
            <w:textDirection w:val="lrTb"/>
            <w:noWrap w:val="false"/>
          </w:tcPr>
          <w:p>
            <w:pPr>
              <w:pStyle w:val="942"/>
              <w:ind w:firstLine="0"/>
              <w:jc w:val="center"/>
              <w:spacing w:line="28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Рег. номер заявки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4961" w:type="dxa"/>
            <w:vAlign w:val="center"/>
            <w:textDirection w:val="lrTb"/>
            <w:noWrap w:val="false"/>
          </w:tcPr>
          <w:p>
            <w:pPr>
              <w:pStyle w:val="942"/>
              <w:ind w:firstLine="0"/>
              <w:jc w:val="center"/>
              <w:spacing w:line="283" w:lineRule="atLeas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Дата и время регистрации заявки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trHeight w:val="20"/>
        </w:trPr>
        <w:tc>
          <w:tcPr>
            <w:tcW w:w="1049" w:type="dxa"/>
            <w:vAlign w:val="center"/>
            <w:textDirection w:val="lrTb"/>
            <w:noWrap w:val="false"/>
          </w:tcPr>
          <w:p>
            <w:pPr>
              <w:pStyle w:val="942"/>
              <w:ind w:firstLine="0"/>
              <w:jc w:val="center"/>
              <w:spacing w:line="283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tcW w:w="4196" w:type="dxa"/>
            <w:vAlign w:val="top"/>
            <w:textDirection w:val="lrTb"/>
            <w:noWrap w:val="false"/>
          </w:tcPr>
          <w:p>
            <w:pPr>
              <w:ind w:left="0" w:right="0"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hyperlink r:id="rId14" w:tooltip="https://tender.lot-online.ru/fx/gpms/ru.naumen.gpms.ui.published_jsp?uuid=corebo19718u80000pkratufcadiu9us" w:history="1">
              <w:r>
                <w:rPr>
                  <w:rStyle w:val="957"/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 xml:space="preserve">№437306</w:t>
              </w:r>
            </w:hyperlink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</w:rPr>
            </w:r>
          </w:p>
        </w:tc>
        <w:tc>
          <w:tcPr>
            <w:tcW w:w="496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rPr>
                <w:rFonts w:ascii="Times New Roman" w:hAnsi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  <w:t xml:space="preserve">10.11.2025 12:44:20 MCK-1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color w:val="000000" w:themeColor="text1"/>
                <w:sz w:val="24"/>
                <w:szCs w:val="24"/>
              </w:rPr>
            </w:r>
          </w:p>
        </w:tc>
      </w:tr>
    </w:tbl>
    <w:p>
      <w:pPr>
        <w:ind w:firstLine="0"/>
        <w:spacing w:line="240" w:lineRule="auto"/>
        <w:widowControl w:val="off"/>
        <w:rPr>
          <w:b/>
          <w:sz w:val="26"/>
          <w:szCs w:val="26"/>
        </w:rPr>
        <w:outlineLvl w:val="1"/>
      </w:pPr>
      <w:r>
        <w:rPr>
          <w:b/>
          <w:sz w:val="26"/>
          <w:szCs w:val="26"/>
        </w:rPr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spacing w:line="240" w:lineRule="auto"/>
        <w:widowControl w:val="off"/>
        <w:rPr>
          <w:b/>
          <w:sz w:val="26"/>
          <w:szCs w:val="26"/>
          <w:u w:val="single"/>
        </w:rPr>
        <w:outlineLvl w:val="1"/>
      </w:pPr>
      <w:r>
        <w:rPr>
          <w:b/>
          <w:sz w:val="26"/>
          <w:szCs w:val="26"/>
          <w:u w:val="single"/>
        </w:rPr>
        <w:t xml:space="preserve">ВОПРОСЫ ЗАСЕДАНИЯ </w:t>
      </w:r>
      <w:r>
        <w:rPr>
          <w:b/>
          <w:bCs/>
          <w:sz w:val="26"/>
          <w:szCs w:val="26"/>
          <w:u w:val="single"/>
        </w:rPr>
        <w:t xml:space="preserve">ЗАКУПОЧНОЙ</w:t>
      </w:r>
      <w:r>
        <w:rPr>
          <w:b/>
          <w:sz w:val="26"/>
          <w:szCs w:val="26"/>
          <w:u w:val="single"/>
        </w:rPr>
        <w:t xml:space="preserve"> КОМИССИИ:</w:t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pStyle w:val="1023"/>
        <w:ind w:left="0"/>
        <w:jc w:val="both"/>
        <w:widowControl w:val="off"/>
        <w:tabs>
          <w:tab w:val="num" w:pos="0" w:leader="none"/>
        </w:tabs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1.</w:t>
      </w:r>
      <w:r>
        <w:rPr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 xml:space="preserve">О рассмотрении заявок участников.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5"/>
        <w:spacing w:before="0" w:line="240" w:lineRule="auto"/>
        <w:widowControl w:val="off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Экспертная группа и члены Закупочной комиссии рассмотрели поступившие заявки на участие в закупке в порядке, установленном извещением о закупке и Единым стандартом закупок ПАО «</w:t>
      </w:r>
      <w:r>
        <w:rPr>
          <w:sz w:val="26"/>
          <w:szCs w:val="26"/>
        </w:rPr>
        <w:t xml:space="preserve">Россети</w:t>
      </w:r>
      <w:r>
        <w:rPr>
          <w:sz w:val="26"/>
          <w:szCs w:val="26"/>
        </w:rPr>
        <w:t xml:space="preserve">». 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985"/>
        <w:spacing w:before="0" w:line="240" w:lineRule="auto"/>
        <w:widowControl w:val="off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Результаты рассмотрения заявок приведены ниже:</w:t>
      </w:r>
      <w:r>
        <w:rPr>
          <w:sz w:val="26"/>
          <w:szCs w:val="26"/>
        </w:rPr>
      </w:r>
      <w:r>
        <w:rPr>
          <w:sz w:val="26"/>
          <w:szCs w:val="26"/>
        </w:rPr>
      </w:r>
    </w:p>
    <w:tbl>
      <w:tblPr>
        <w:tblpPr w:horzAnchor="text" w:tblpXSpec="center" w:vertAnchor="text" w:tblpY="1" w:leftFromText="180" w:topFromText="0" w:rightFromText="180" w:bottomFromText="0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2099"/>
        <w:gridCol w:w="2236"/>
        <w:gridCol w:w="1193"/>
        <w:gridCol w:w="4256"/>
      </w:tblGrid>
      <w:tr>
        <w:tblPrEx/>
        <w:trPr>
          <w:jc w:val="center"/>
          <w:trHeight w:val="20"/>
        </w:trPr>
        <w:tc>
          <w:tcPr>
            <w:tcW w:w="4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№ 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п/п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2099" w:type="dxa"/>
            <w:vAlign w:val="center"/>
            <w:textDirection w:val="lrTb"/>
            <w:noWrap w:val="false"/>
          </w:tcPr>
          <w:p>
            <w:pPr>
              <w:ind w:left="132" w:right="192" w:firstLine="0"/>
              <w:jc w:val="center"/>
              <w:spacing w:line="240" w:lineRule="auto"/>
              <w:widowControl w:val="off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Участник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2236" w:type="dxa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Ценовое предложение, без НДС/ с НДС рублей </w:t>
            </w:r>
            <w:r>
              <w:rPr>
                <w:b/>
                <w:bCs/>
                <w:sz w:val="26"/>
                <w:szCs w:val="26"/>
              </w:rPr>
            </w:r>
            <w:r>
              <w:rPr>
                <w:b/>
                <w:bCs/>
                <w:sz w:val="26"/>
                <w:szCs w:val="26"/>
              </w:rPr>
            </w:r>
          </w:p>
        </w:tc>
        <w:tc>
          <w:tcPr>
            <w:tcW w:w="11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Предлагаемое решение по заявке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  <w:tc>
          <w:tcPr>
            <w:tcW w:w="425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 xml:space="preserve">Обоснование решения</w:t>
            </w:r>
            <w:r>
              <w:rPr>
                <w:b/>
                <w:sz w:val="26"/>
                <w:szCs w:val="26"/>
              </w:rPr>
            </w:r>
            <w:r>
              <w:rPr>
                <w:b/>
                <w:sz w:val="26"/>
                <w:szCs w:val="26"/>
              </w:rPr>
            </w:r>
          </w:p>
        </w:tc>
      </w:tr>
      <w:tr>
        <w:tblPrEx/>
        <w:trPr>
          <w:jc w:val="center"/>
          <w:trHeight w:val="20"/>
        </w:trPr>
        <w:tc>
          <w:tcPr>
            <w:tcW w:w="425" w:type="dxa"/>
            <w:textDirection w:val="lrTb"/>
            <w:noWrap w:val="false"/>
          </w:tcPr>
          <w:p>
            <w:pPr>
              <w:pStyle w:val="1023"/>
              <w:numPr>
                <w:ilvl w:val="0"/>
                <w:numId w:val="18"/>
              </w:numPr>
              <w:ind w:left="0" w:firstLine="0"/>
              <w:jc w:val="center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2099" w:type="dxa"/>
            <w:vAlign w:val="center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hyperlink r:id="rId15" w:tooltip="https://tender.lot-online.ru/fx/gpms/ru.naumen.gpms.ui.published_jsp?uuid=corebo19718u80000pkratufcadiu9us" w:history="1">
              <w:r>
                <w:rPr>
                  <w:rStyle w:val="957"/>
                  <w:rFonts w:ascii="Times New Roman" w:hAnsi="Times New Roman" w:eastAsia="Times New Roman" w:cs="Times New Roman"/>
                  <w:b/>
                  <w:bCs/>
                  <w:color w:val="000000" w:themeColor="text1"/>
                  <w:sz w:val="24"/>
                  <w:szCs w:val="24"/>
                  <w:u w:val="none"/>
                </w:rPr>
                <w:t xml:space="preserve">№437306</w:t>
              </w:r>
            </w:hyperlink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23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1 108 631,67</w:t>
            </w:r>
            <w:r>
              <w:rPr>
                <w:sz w:val="24"/>
                <w:szCs w:val="24"/>
              </w:rPr>
              <w:t xml:space="preserve">/</w:t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center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t xml:space="preserve">1 330 358,00</w:t>
            </w:r>
            <w:r>
              <w:rPr>
                <w:sz w:val="24"/>
                <w:szCs w:val="24"/>
              </w:rPr>
            </w:r>
            <w:r/>
          </w:p>
        </w:tc>
        <w:tc>
          <w:tcPr>
            <w:shd w:val="clear" w:color="auto" w:fill="auto"/>
            <w:tcW w:w="119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Допустить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  <w:tc>
          <w:tcPr>
            <w:shd w:val="clear" w:color="auto" w:fill="auto"/>
            <w:tcW w:w="4256" w:type="dxa"/>
            <w:vAlign w:val="center"/>
            <w:textDirection w:val="lrTb"/>
            <w:noWrap w:val="false"/>
          </w:tcPr>
          <w:p>
            <w:pPr>
              <w:ind w:left="99" w:right="151" w:firstLine="0"/>
              <w:jc w:val="both"/>
              <w:spacing w:line="240" w:lineRule="auto"/>
              <w:widowControl w:val="off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Участник и его заявка соответствуют требованиям Извещения о закупке и Единого стандарта закупок ПАО «</w:t>
            </w:r>
            <w:r>
              <w:rPr>
                <w:sz w:val="26"/>
                <w:szCs w:val="26"/>
              </w:rPr>
              <w:t xml:space="preserve">Россети</w:t>
            </w:r>
            <w:r>
              <w:rPr>
                <w:sz w:val="26"/>
                <w:szCs w:val="26"/>
              </w:rPr>
              <w:t xml:space="preserve">».</w:t>
            </w:r>
            <w:r>
              <w:rPr>
                <w:sz w:val="26"/>
                <w:szCs w:val="26"/>
              </w:rPr>
            </w:r>
            <w:r>
              <w:rPr>
                <w:sz w:val="26"/>
                <w:szCs w:val="26"/>
              </w:rPr>
            </w:r>
          </w:p>
        </w:tc>
      </w:tr>
    </w:tbl>
    <w:p>
      <w:pPr>
        <w:ind w:firstLine="0"/>
        <w:spacing w:line="240" w:lineRule="auto"/>
        <w:widowControl w:val="off"/>
        <w:tabs>
          <w:tab w:val="left" w:pos="567" w:leader="none"/>
        </w:tabs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2. </w:t>
      </w:r>
      <w:r>
        <w:rPr>
          <w:b/>
          <w:i/>
          <w:sz w:val="26"/>
          <w:szCs w:val="26"/>
        </w:rPr>
        <w:t xml:space="preserve">О признании закупки несостоявшейся</w:t>
      </w:r>
      <w:r>
        <w:rPr>
          <w:b/>
          <w:i/>
          <w:sz w:val="26"/>
          <w:szCs w:val="26"/>
        </w:rPr>
      </w:r>
      <w:r>
        <w:rPr>
          <w:b/>
          <w:i/>
          <w:sz w:val="26"/>
          <w:szCs w:val="26"/>
        </w:rPr>
      </w:r>
    </w:p>
    <w:p>
      <w:pPr>
        <w:ind w:firstLine="0"/>
        <w:spacing w:line="240" w:lineRule="auto"/>
        <w:widowControl w:val="off"/>
        <w:rPr>
          <w:b w:val="0"/>
          <w:bCs w:val="0"/>
          <w:i w:val="0"/>
          <w:sz w:val="26"/>
          <w:szCs w:val="26"/>
          <w:highlight w:val="none"/>
          <w14:ligatures w14:val="none"/>
        </w:rPr>
      </w:pPr>
      <w:r>
        <w:rPr>
          <w:b w:val="0"/>
          <w:bCs w:val="0"/>
          <w:i w:val="0"/>
          <w:iCs w:val="0"/>
          <w:sz w:val="26"/>
          <w:szCs w:val="26"/>
        </w:rPr>
        <w:t xml:space="preserve">На основании пункта 7.5.1 Единого Стандарта закупок ПАО «Россети» </w:t>
      </w:r>
      <w:r>
        <w:rPr>
          <w:b/>
          <w:bCs/>
          <w:i w:val="0"/>
          <w:iCs w:val="0"/>
          <w:sz w:val="26"/>
          <w:szCs w:val="26"/>
        </w:rPr>
        <w:t xml:space="preserve">а)</w:t>
      </w:r>
      <w:r>
        <w:rPr>
          <w:b w:val="0"/>
          <w:bCs w:val="0"/>
          <w:i w:val="0"/>
          <w:iCs w:val="0"/>
          <w:sz w:val="26"/>
          <w:szCs w:val="26"/>
        </w:rPr>
        <w:tab/>
      </w:r>
      <w:r>
        <w:rPr>
          <w:b/>
          <w:bCs/>
          <w:i w:val="0"/>
          <w:iCs w:val="0"/>
          <w:sz w:val="26"/>
          <w:szCs w:val="26"/>
        </w:rPr>
        <w:t xml:space="preserve">если по окончании срока подачи заявок подана только одна заявка</w:t>
      </w:r>
      <w:r>
        <w:rPr>
          <w:b w:val="0"/>
          <w:bCs w:val="0"/>
          <w:i w:val="0"/>
          <w:iCs w:val="0"/>
          <w:sz w:val="26"/>
          <w:szCs w:val="26"/>
        </w:rPr>
        <w:t xml:space="preserve"> или не подано ни одной заявки признать закупку</w:t>
      </w:r>
      <w:r>
        <w:rPr>
          <w:b/>
          <w:bCs/>
          <w:i w:val="0"/>
          <w:iCs w:val="0"/>
          <w:sz w:val="26"/>
          <w:szCs w:val="26"/>
        </w:rPr>
        <w:t xml:space="preserve"> </w:t>
      </w:r>
      <w:r>
        <w:rPr>
          <w:b/>
          <w:bCs/>
          <w:i w:val="0"/>
          <w:iCs w:val="0"/>
          <w:sz w:val="26"/>
          <w:szCs w:val="26"/>
        </w:rPr>
        <w:t xml:space="preserve">несостоявшейся.</w:t>
      </w:r>
      <w:r>
        <w:rPr>
          <w:b/>
          <w:bCs/>
          <w:i w:val="0"/>
          <w:sz w:val="26"/>
          <w:szCs w:val="26"/>
          <w:highlight w:val="none"/>
          <w14:ligatures w14:val="none"/>
        </w:rPr>
      </w:r>
      <w:r>
        <w:rPr>
          <w:b w:val="0"/>
          <w:bCs w:val="0"/>
          <w:i w:val="0"/>
          <w:sz w:val="26"/>
          <w:szCs w:val="26"/>
          <w:highlight w:val="none"/>
          <w14:ligatures w14:val="none"/>
        </w:rPr>
      </w:r>
    </w:p>
    <w:p>
      <w:pPr>
        <w:ind w:firstLine="0"/>
        <w:spacing w:line="240" w:lineRule="auto"/>
        <w:widowControl w:val="off"/>
        <w:rPr>
          <w:b/>
          <w:bCs/>
          <w:i/>
          <w:sz w:val="26"/>
          <w:szCs w:val="26"/>
          <w:highlight w:val="white"/>
        </w:rPr>
      </w:pPr>
      <w:r>
        <w:rPr>
          <w:b/>
          <w:i/>
          <w:sz w:val="26"/>
          <w:szCs w:val="26"/>
          <w:highlight w:val="white"/>
        </w:rPr>
        <w:t xml:space="preserve">3</w:t>
      </w:r>
      <w:r>
        <w:rPr>
          <w:b/>
          <w:i/>
          <w:sz w:val="26"/>
          <w:szCs w:val="26"/>
          <w:highlight w:val="white"/>
        </w:rPr>
        <w:t xml:space="preserve">. </w:t>
      </w:r>
      <w:r>
        <w:rPr>
          <w:b/>
          <w:i/>
          <w:sz w:val="26"/>
          <w:szCs w:val="26"/>
          <w:highlight w:val="white"/>
        </w:rPr>
        <w:t xml:space="preserve">О заключении договора</w:t>
      </w:r>
      <w:r>
        <w:rPr>
          <w:b/>
          <w:bCs/>
          <w:i/>
          <w:sz w:val="26"/>
          <w:szCs w:val="26"/>
          <w:highlight w:val="white"/>
        </w:rPr>
      </w:r>
      <w:r>
        <w:rPr>
          <w:b/>
          <w:bCs/>
          <w:i/>
          <w:sz w:val="26"/>
          <w:szCs w:val="26"/>
          <w:highlight w:val="white"/>
        </w:rPr>
      </w:r>
    </w:p>
    <w:p>
      <w:pPr>
        <w:contextualSpacing/>
        <w:ind w:left="0" w:right="-1" w:firstLine="0"/>
        <w:jc w:val="both"/>
        <w:spacing w:line="240" w:lineRule="auto"/>
        <w:rPr>
          <w:b w:val="0"/>
          <w:bCs w:val="0"/>
          <w:sz w:val="26"/>
          <w:szCs w:val="26"/>
          <w:highlight w:val="none"/>
        </w:rPr>
        <w:outlineLvl w:val="1"/>
      </w:pPr>
      <w:r>
        <w:rPr>
          <w:b w:val="0"/>
          <w:bCs w:val="0"/>
          <w:sz w:val="26"/>
          <w:szCs w:val="26"/>
          <w:highlight w:val="none"/>
        </w:rPr>
        <w:t xml:space="preserve">На основании п. 7.5.3 </w:t>
      </w:r>
      <w:r>
        <w:rPr>
          <w:sz w:val="26"/>
          <w:szCs w:val="26"/>
        </w:rPr>
        <w:t xml:space="preserve">Единого Стандарта Закупок ПАО «Россети» (Положение о закупке) </w:t>
      </w:r>
      <w:r>
        <w:rPr>
          <w:b w:val="0"/>
          <w:bCs w:val="0"/>
          <w:sz w:val="26"/>
          <w:szCs w:val="26"/>
          <w:highlight w:val="none"/>
        </w:rPr>
        <w:t xml:space="preserve">заключить договор </w:t>
      </w:r>
      <w:r>
        <w:rPr>
          <w:b w:val="0"/>
          <w:bCs w:val="0"/>
          <w:sz w:val="26"/>
          <w:szCs w:val="26"/>
          <w:highlight w:val="none"/>
        </w:rPr>
        <w:t xml:space="preserve">с Участ</w:t>
      </w:r>
      <w:r>
        <w:rPr>
          <w:b w:val="0"/>
          <w:bCs w:val="0"/>
          <w:sz w:val="26"/>
          <w:szCs w:val="26"/>
          <w:highlight w:val="none"/>
        </w:rPr>
        <w:t xml:space="preserve">ником</w:t>
      </w:r>
      <w:r>
        <w:rPr>
          <w:b w:val="0"/>
          <w:bCs w:val="0"/>
          <w:sz w:val="26"/>
          <w:szCs w:val="26"/>
          <w:highlight w:val="none"/>
        </w:rPr>
        <w:t xml:space="preserve"> </w:t>
      </w:r>
      <w:r/>
      <w:hyperlink r:id="rId16" w:tooltip="https://tender.lot-online.ru/fx/gpms/ru.naumen.gpms.ui.published_jsp?uuid=corebo19718u80000pkratufcadiu9us" w:history="1">
        <w:r>
          <w:rPr>
            <w:rStyle w:val="957"/>
            <w:rFonts w:ascii="Times New Roman" w:hAnsi="Times New Roman" w:eastAsia="Times New Roman" w:cs="Times New Roman"/>
            <w:b/>
            <w:bCs/>
            <w:color w:val="000000" w:themeColor="text1"/>
            <w:sz w:val="24"/>
            <w:szCs w:val="24"/>
            <w:u w:val="none"/>
          </w:rPr>
          <w:t xml:space="preserve">№437306</w:t>
        </w:r>
      </w:hyperlink>
      <w:r>
        <w:rPr>
          <w:b w:val="0"/>
          <w:bCs w:val="0"/>
          <w:sz w:val="26"/>
          <w:szCs w:val="26"/>
          <w:highlight w:val="none"/>
        </w:rPr>
        <w:t xml:space="preserve">, </w:t>
      </w:r>
      <w:r>
        <w:rPr>
          <w:b w:val="0"/>
          <w:bCs w:val="0"/>
          <w:sz w:val="26"/>
          <w:szCs w:val="26"/>
          <w:highlight w:val="none"/>
        </w:rPr>
        <w:t xml:space="preserve">на сумм</w:t>
      </w:r>
      <w:r>
        <w:rPr>
          <w:b w:val="0"/>
          <w:bCs w:val="0"/>
          <w:sz w:val="26"/>
          <w:szCs w:val="26"/>
          <w:highlight w:val="white"/>
        </w:rPr>
        <w:t xml:space="preserve">у</w:t>
      </w:r>
      <w:r>
        <w:rPr>
          <w:b w:val="0"/>
          <w:bCs w:val="0"/>
          <w:sz w:val="26"/>
          <w:szCs w:val="26"/>
          <w:highlight w:val="white"/>
        </w:rPr>
        <w:t xml:space="preserve"> </w:t>
      </w:r>
      <w:r>
        <w:rPr>
          <w:b/>
          <w:bCs/>
          <w:sz w:val="26"/>
          <w:szCs w:val="26"/>
          <w:highlight w:val="white"/>
        </w:rPr>
        <w:t xml:space="preserve">1 108 631,67</w:t>
      </w:r>
      <w:r>
        <w:rPr>
          <w:b/>
          <w:bCs/>
          <w:sz w:val="26"/>
          <w:szCs w:val="26"/>
          <w:highlight w:val="white"/>
        </w:rPr>
        <w:t xml:space="preserve"> </w:t>
      </w:r>
      <w:r>
        <w:rPr>
          <w:b/>
          <w:bCs/>
          <w:sz w:val="26"/>
          <w:szCs w:val="26"/>
          <w:highlight w:val="white"/>
        </w:rPr>
        <w:t xml:space="preserve">руб.</w:t>
      </w:r>
      <w:r>
        <w:rPr>
          <w:b/>
          <w:bCs/>
          <w:sz w:val="26"/>
          <w:szCs w:val="26"/>
          <w:highlight w:val="white"/>
        </w:rPr>
        <w:t xml:space="preserve"> </w:t>
      </w:r>
      <w:r>
        <w:rPr>
          <w:b/>
          <w:bCs/>
          <w:sz w:val="26"/>
          <w:szCs w:val="26"/>
          <w:highlight w:val="white"/>
        </w:rPr>
        <w:t xml:space="preserve">б</w:t>
      </w:r>
      <w:r>
        <w:rPr>
          <w:b/>
          <w:bCs/>
          <w:sz w:val="26"/>
          <w:szCs w:val="26"/>
          <w:highlight w:val="white"/>
        </w:rPr>
        <w:t xml:space="preserve">е</w:t>
      </w:r>
      <w:r>
        <w:rPr>
          <w:b/>
          <w:bCs/>
          <w:sz w:val="26"/>
          <w:szCs w:val="26"/>
          <w:highlight w:val="white"/>
        </w:rPr>
        <w:t xml:space="preserve">з</w:t>
      </w:r>
      <w:r>
        <w:rPr>
          <w:b/>
          <w:bCs/>
          <w:sz w:val="26"/>
          <w:szCs w:val="26"/>
          <w:highlight w:val="white"/>
        </w:rPr>
        <w:t xml:space="preserve"> </w:t>
      </w:r>
      <w:r>
        <w:rPr>
          <w:b/>
          <w:bCs/>
          <w:sz w:val="26"/>
          <w:szCs w:val="26"/>
          <w:highlight w:val="white"/>
        </w:rPr>
        <w:t xml:space="preserve">Н</w:t>
      </w:r>
      <w:r>
        <w:rPr>
          <w:b/>
          <w:bCs/>
          <w:sz w:val="26"/>
          <w:szCs w:val="26"/>
          <w:highlight w:val="white"/>
        </w:rPr>
        <w:t xml:space="preserve">Д</w:t>
      </w:r>
      <w:r>
        <w:rPr>
          <w:b/>
          <w:bCs/>
          <w:sz w:val="26"/>
          <w:szCs w:val="26"/>
          <w:highlight w:val="white"/>
        </w:rPr>
        <w:t xml:space="preserve">С</w:t>
      </w:r>
      <w:r>
        <w:rPr>
          <w:b/>
          <w:bCs/>
          <w:sz w:val="26"/>
          <w:szCs w:val="26"/>
          <w:highlight w:val="white"/>
        </w:rPr>
        <w:t xml:space="preserve">/</w:t>
      </w:r>
      <w:r>
        <w:rPr>
          <w:b/>
          <w:bCs/>
          <w:sz w:val="26"/>
          <w:szCs w:val="26"/>
          <w:highlight w:val="white"/>
        </w:rPr>
        <w:t xml:space="preserve"> </w:t>
      </w:r>
      <w:r>
        <w:rPr>
          <w:b/>
          <w:bCs/>
          <w:sz w:val="26"/>
          <w:szCs w:val="26"/>
          <w:highlight w:val="white"/>
        </w:rPr>
        <w:t xml:space="preserve">1 330 358,00 </w:t>
      </w:r>
      <w:r>
        <w:rPr>
          <w:b/>
          <w:bCs/>
          <w:sz w:val="26"/>
          <w:szCs w:val="26"/>
          <w:highlight w:val="white"/>
        </w:rPr>
        <w:t xml:space="preserve">ру</w:t>
      </w:r>
      <w:r>
        <w:rPr>
          <w:b/>
          <w:bCs/>
          <w:sz w:val="26"/>
          <w:szCs w:val="26"/>
          <w:highlight w:val="white"/>
        </w:rPr>
        <w:t xml:space="preserve">б</w:t>
      </w:r>
      <w:r>
        <w:rPr>
          <w:b/>
          <w:bCs/>
          <w:sz w:val="26"/>
          <w:szCs w:val="26"/>
          <w:highlight w:val="white"/>
        </w:rPr>
        <w:t xml:space="preserve">.</w:t>
      </w:r>
      <w:r>
        <w:rPr>
          <w:b/>
          <w:bCs/>
          <w:sz w:val="26"/>
          <w:szCs w:val="26"/>
          <w:highlight w:val="white"/>
        </w:rPr>
        <w:t xml:space="preserve"> </w:t>
      </w:r>
      <w:r>
        <w:rPr>
          <w:b/>
          <w:bCs/>
          <w:sz w:val="26"/>
          <w:szCs w:val="26"/>
          <w:highlight w:val="white"/>
        </w:rPr>
        <w:t xml:space="preserve">с</w:t>
      </w:r>
      <w:r>
        <w:rPr>
          <w:b/>
          <w:bCs/>
          <w:sz w:val="26"/>
          <w:szCs w:val="26"/>
          <w:highlight w:val="white"/>
        </w:rPr>
        <w:t xml:space="preserve"> </w:t>
      </w:r>
      <w:r>
        <w:rPr>
          <w:b/>
          <w:bCs/>
          <w:sz w:val="26"/>
          <w:szCs w:val="26"/>
          <w:highlight w:val="white"/>
        </w:rPr>
        <w:t xml:space="preserve">Н</w:t>
      </w:r>
      <w:r>
        <w:rPr>
          <w:b/>
          <w:bCs/>
          <w:sz w:val="26"/>
          <w:szCs w:val="26"/>
          <w:highlight w:val="white"/>
        </w:rPr>
        <w:t xml:space="preserve">Д</w:t>
      </w:r>
      <w:r>
        <w:rPr>
          <w:b/>
          <w:bCs/>
          <w:sz w:val="26"/>
          <w:szCs w:val="26"/>
          <w:highlight w:val="white"/>
        </w:rPr>
        <w:t xml:space="preserve">С</w:t>
      </w:r>
      <w:r>
        <w:rPr>
          <w:b w:val="0"/>
          <w:bCs w:val="0"/>
          <w:sz w:val="26"/>
          <w:szCs w:val="26"/>
          <w:highlight w:val="white"/>
        </w:rPr>
        <w:t xml:space="preserve">.</w:t>
      </w:r>
      <w:r>
        <w:rPr>
          <w:b w:val="0"/>
          <w:bCs w:val="0"/>
          <w:sz w:val="26"/>
          <w:szCs w:val="26"/>
          <w:highlight w:val="white"/>
        </w:rPr>
        <w:t xml:space="preserve"> О</w:t>
      </w:r>
      <w:r>
        <w:rPr>
          <w:b w:val="0"/>
          <w:bCs w:val="0"/>
          <w:sz w:val="26"/>
          <w:szCs w:val="26"/>
          <w:highlight w:val="none"/>
        </w:rPr>
        <w:t xml:space="preserve">стальные условия в соответствии с извещением о проведении за</w:t>
      </w:r>
      <w:r>
        <w:rPr>
          <w:b w:val="0"/>
          <w:bCs w:val="0"/>
          <w:sz w:val="26"/>
          <w:szCs w:val="26"/>
          <w:highlight w:val="none"/>
        </w:rPr>
        <w:t xml:space="preserve">купки и заявкой участника закупки</w:t>
      </w:r>
      <w:r>
        <w:rPr>
          <w:b w:val="0"/>
          <w:bCs w:val="0"/>
          <w:sz w:val="26"/>
          <w:szCs w:val="26"/>
          <w:highlight w:val="none"/>
        </w:rPr>
        <w:t xml:space="preserve">.</w:t>
      </w:r>
      <w:r>
        <w:rPr>
          <w:b w:val="0"/>
          <w:bCs w:val="0"/>
          <w:sz w:val="26"/>
          <w:szCs w:val="26"/>
          <w:highlight w:val="none"/>
        </w:rPr>
      </w:r>
      <w:r>
        <w:rPr>
          <w:b w:val="0"/>
          <w:bCs w:val="0"/>
          <w:sz w:val="26"/>
          <w:szCs w:val="26"/>
          <w:highlight w:val="none"/>
        </w:rPr>
      </w:r>
    </w:p>
    <w:p>
      <w:pPr>
        <w:contextualSpacing/>
        <w:ind w:firstLine="0"/>
        <w:spacing w:line="240" w:lineRule="auto"/>
        <w:widowControl w:val="off"/>
        <w:tabs>
          <w:tab w:val="left" w:pos="567" w:leader="none"/>
        </w:tabs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contextualSpacing/>
        <w:ind w:firstLine="0"/>
        <w:spacing w:line="240" w:lineRule="auto"/>
        <w:widowControl w:val="off"/>
        <w:tabs>
          <w:tab w:val="num" w:pos="567" w:leader="none"/>
        </w:tabs>
        <w:rPr>
          <w:b/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ПУБЛИКАЦИЯ</w:t>
      </w:r>
      <w:r>
        <w:rPr>
          <w:b/>
          <w:sz w:val="26"/>
          <w:szCs w:val="26"/>
        </w:rPr>
        <w:t xml:space="preserve">:</w:t>
      </w:r>
      <w:r>
        <w:rPr>
          <w:b/>
          <w:sz w:val="26"/>
          <w:szCs w:val="26"/>
        </w:rPr>
      </w:r>
      <w:r>
        <w:rPr>
          <w:b/>
          <w:sz w:val="26"/>
          <w:szCs w:val="26"/>
        </w:rPr>
      </w:r>
    </w:p>
    <w:p>
      <w:pPr>
        <w:ind w:firstLine="0"/>
        <w:spacing w:line="240" w:lineRule="auto"/>
        <w:widowControl w:val="off"/>
        <w:tabs>
          <w:tab w:val="left" w:pos="284" w:leader="none"/>
          <w:tab w:val="num" w:pos="567" w:leader="none"/>
        </w:tabs>
        <w:rPr>
          <w:sz w:val="26"/>
          <w:szCs w:val="26"/>
        </w:rPr>
        <w:outlineLvl w:val="0"/>
      </w:pPr>
      <w:r>
        <w:rPr>
          <w:sz w:val="26"/>
          <w:szCs w:val="26"/>
        </w:rPr>
        <w:t xml:space="preserve">Настоящий протокол заседания Закупочной комиссии подлежит опубликованию: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numPr>
          <w:ilvl w:val="0"/>
          <w:numId w:val="5"/>
        </w:numPr>
        <w:ind w:left="0" w:firstLine="0"/>
        <w:spacing w:line="240" w:lineRule="auto"/>
        <w:widowControl w:val="off"/>
        <w:tabs>
          <w:tab w:val="left" w:pos="284" w:leader="none"/>
          <w:tab w:val="num" w:pos="567" w:leader="none"/>
          <w:tab w:val="left" w:pos="993" w:leader="none"/>
        </w:tabs>
        <w:rPr>
          <w:sz w:val="26"/>
          <w:szCs w:val="26"/>
        </w:rPr>
      </w:pPr>
      <w:r>
        <w:rPr>
          <w:sz w:val="26"/>
          <w:szCs w:val="26"/>
          <w:shd w:val="clear" w:color="auto" w:fill="ffffff"/>
        </w:rPr>
        <w:t xml:space="preserve">в ЕИС на сайте «www.zakupki.gov.ru» </w:t>
      </w:r>
      <w:r>
        <w:rPr>
          <w:sz w:val="26"/>
          <w:szCs w:val="26"/>
        </w:rPr>
        <w:t xml:space="preserve">не позднее чем через</w:t>
      </w:r>
      <w:r>
        <w:rPr>
          <w:b/>
          <w:sz w:val="26"/>
          <w:szCs w:val="26"/>
        </w:rPr>
        <w:t xml:space="preserve"> три дня</w:t>
      </w:r>
      <w:r>
        <w:rPr>
          <w:sz w:val="26"/>
          <w:szCs w:val="26"/>
        </w:rPr>
        <w:t xml:space="preserve"> со дня его подписания;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023"/>
        <w:numPr>
          <w:ilvl w:val="0"/>
          <w:numId w:val="5"/>
        </w:numPr>
        <w:contextualSpacing w:val="0"/>
        <w:ind w:left="0" w:firstLine="0"/>
        <w:jc w:val="both"/>
        <w:widowControl w:val="off"/>
        <w:tabs>
          <w:tab w:val="num" w:pos="567" w:leader="none"/>
        </w:tabs>
        <w:rPr>
          <w:sz w:val="26"/>
          <w:szCs w:val="26"/>
        </w:rPr>
      </w:pPr>
      <w:r>
        <w:rPr>
          <w:sz w:val="26"/>
          <w:szCs w:val="26"/>
        </w:rPr>
        <w:t xml:space="preserve">на сайте ЭТП «www.tender.lot-online.ru».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ind w:right="-24" w:firstLine="0"/>
        <w:spacing w:line="240" w:lineRule="auto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  <w:r>
        <w:rPr>
          <w:b/>
          <w:sz w:val="26"/>
          <w:szCs w:val="26"/>
          <w:u w:val="single"/>
        </w:rPr>
      </w:r>
    </w:p>
    <w:p>
      <w:pPr>
        <w:pStyle w:val="1026"/>
        <w:ind w:right="-140"/>
        <w:jc w:val="both"/>
        <w:spacing w:line="19" w:lineRule="atLeast"/>
        <w:widowControl w:val="off"/>
        <w:rPr>
          <w:sz w:val="26"/>
          <w:szCs w:val="26"/>
        </w:rPr>
      </w:pPr>
      <w:r>
        <w:rPr>
          <w:b/>
          <w:sz w:val="26"/>
          <w:szCs w:val="26"/>
          <w:u w:val="single"/>
        </w:rPr>
        <w:t xml:space="preserve">ПРОТОКОЛ ПОДПИСАЛИ</w:t>
      </w:r>
      <w:r>
        <w:rPr>
          <w:b/>
          <w:sz w:val="26"/>
          <w:szCs w:val="26"/>
        </w:rPr>
        <w:t xml:space="preserve">:</w:t>
      </w:r>
      <w:r>
        <w:rPr>
          <w:sz w:val="26"/>
          <w:szCs w:val="26"/>
        </w:rPr>
      </w:r>
      <w:r>
        <w:rPr>
          <w:sz w:val="26"/>
          <w:szCs w:val="26"/>
        </w:rPr>
      </w:r>
    </w:p>
    <w:p>
      <w:pPr>
        <w:pStyle w:val="1_1985"/>
        <w:ind w:left="0"/>
        <w:jc w:val="both"/>
        <w:keepLines/>
        <w:spacing w:line="19" w:lineRule="atLeast"/>
        <w:rPr>
          <w:sz w:val="26"/>
          <w:szCs w:val="26"/>
        </w:rPr>
      </w:pPr>
      <w:r>
        <w:rPr>
          <w:sz w:val="26"/>
          <w:szCs w:val="26"/>
        </w:rPr>
        <w:t xml:space="preserve">Ответственный секретарь</w:t>
      </w:r>
      <w:r>
        <w:rPr>
          <w:sz w:val="26"/>
          <w:szCs w:val="26"/>
        </w:rPr>
      </w:r>
    </w:p>
    <w:p>
      <w:pPr>
        <w:pStyle w:val="1_1985"/>
        <w:ind w:left="0"/>
        <w:jc w:val="both"/>
        <w:keepLines/>
        <w:spacing w:line="19" w:lineRule="atLeast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t xml:space="preserve">(без права голоса):                                                                                                               В.О. Куманев</w:t>
      </w:r>
      <w:r>
        <w:rPr>
          <w:sz w:val="26"/>
          <w:szCs w:val="26"/>
        </w:rPr>
      </w:r>
      <w:r/>
    </w:p>
    <w:p>
      <w:pPr>
        <w:ind w:firstLine="0"/>
        <w:spacing w:line="240" w:lineRule="auto"/>
        <w:widowControl w:val="off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</w:r>
    </w:p>
    <w:sectPr>
      <w:headerReference w:type="default" r:id="rId9"/>
      <w:footerReference w:type="default" r:id="rId10"/>
      <w:footerReference w:type="even" r:id="rId11"/>
      <w:footerReference w:type="first" r:id="rId12"/>
      <w:footnotePr/>
      <w:endnotePr/>
      <w:type w:val="nextPage"/>
      <w:pgSz w:w="11909" w:h="16834" w:orient="portrait"/>
      <w:pgMar w:top="669" w:right="567" w:bottom="567" w:left="1134" w:header="162" w:footer="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Calibri">
    <w:panose1 w:val="020F0502020204030204"/>
  </w:font>
  <w:font w:name="Lucida Sans Unicode">
    <w:panose1 w:val="020B0603030804020204"/>
  </w:font>
  <w:font w:name="Verdana">
    <w:panose1 w:val="020B0604030504040204"/>
  </w:font>
  <w:font w:name="MS Mincho">
    <w:panose1 w:val="0202060606050509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5</w:t>
    </w:r>
    <w:r>
      <w:fldChar w:fldCharType="end"/>
    </w:r>
    <w:r/>
  </w:p>
  <w:p>
    <w:pPr>
      <w:pStyle w:val="956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rPr>
        <w:rStyle w:val="959"/>
      </w:rPr>
      <w:framePr w:wrap="around" w:vAnchor="text" w:hAnchor="margin" w:xAlign="right" w:y="1"/>
    </w:pPr>
    <w:r>
      <w:rPr>
        <w:rStyle w:val="959"/>
      </w:rPr>
      <w:fldChar w:fldCharType="begin"/>
    </w:r>
    <w:r>
      <w:rPr>
        <w:rStyle w:val="959"/>
      </w:rPr>
      <w:instrText xml:space="preserve">PAGE  </w:instrText>
    </w:r>
    <w:r>
      <w:rPr>
        <w:rStyle w:val="959"/>
      </w:rPr>
      <w:fldChar w:fldCharType="end"/>
    </w:r>
    <w:r>
      <w:rPr>
        <w:rStyle w:val="959"/>
      </w:rPr>
    </w:r>
    <w:r>
      <w:rPr>
        <w:rStyle w:val="959"/>
      </w:rPr>
    </w:r>
  </w:p>
  <w:p>
    <w:pPr>
      <w:pStyle w:val="956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6"/>
      <w:jc w:val="center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55"/>
      <w:jc w:val="both"/>
      <w:rPr>
        <w:i w:val="0"/>
        <w:color w:val="ffffff" w:themeColor="background1"/>
      </w:rPr>
    </w:pPr>
    <w:r>
      <w:rPr>
        <w:i w:val="0"/>
        <w:color w:val="ffffff" w:themeColor="background1"/>
      </w:rPr>
    </w:r>
    <w:r>
      <w:rPr>
        <w:i w:val="0"/>
        <w:color w:val="ffffff" w:themeColor="background1"/>
      </w:rPr>
    </w:r>
    <w:r>
      <w:rPr>
        <w:i w:val="0"/>
        <w:color w:val="ffffff" w:themeColor="background1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i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92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512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32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52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72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92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12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32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52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none"/>
      <w:isLgl w:val="false"/>
      <w:suff w:val="tab"/>
      <w:lvlText w:val="%1.%2.%3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1.%1"/>
      <w:lvlJc w:val="left"/>
      <w:pPr>
        <w:ind w:left="1350" w:hanging="360"/>
      </w:pPr>
      <w:rPr>
        <w:rFonts w:hint="default"/>
        <w:b w:val="0"/>
        <w:i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9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1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3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5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7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9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10" w:hanging="180"/>
      </w:p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803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523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43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63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83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403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23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43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63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  <w:sz w:val="26"/>
        <w:szCs w:val="26"/>
      </w:rPr>
    </w:lvl>
    <w:lvl w:ilvl="1">
      <w:start w:val="1"/>
      <w:numFmt w:val="decimal"/>
      <w:isLgl/>
      <w:suff w:val="tab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21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4635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520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612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2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isLgl w:val="false"/>
      <w:suff w:val="tab"/>
      <w:lvlText w:val="%5)"/>
      <w:lvlJc w:val="left"/>
      <w:pPr>
        <w:ind w:left="2280" w:hanging="1080"/>
      </w:pPr>
      <w:rPr>
        <w:rFonts w:hint="default" w:cs="Times New Roman"/>
        <w:b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pStyle w:val="998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  <w:rPr>
        <w:rFonts w:hint="default"/>
      </w:rPr>
    </w:lvl>
    <w:lvl w:ilvl="2">
      <w:start w:val="1"/>
      <w:numFmt w:val="decimal"/>
      <w:pStyle w:val="945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3">
      <w:start w:val="1"/>
      <w:numFmt w:val="decimal"/>
      <w:pStyle w:val="946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 w:val="false"/>
      <w:suff w:val="tab"/>
      <w:lvlText w:val="1.%2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5">
    <w:multiLevelType w:val="hybridMultilevel"/>
    <w:lvl w:ilvl="0">
      <w:start w:val="1"/>
      <w:numFmt w:val="decimal"/>
      <w:pStyle w:val="943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1">
      <w:start w:val="1"/>
      <w:numFmt w:val="decimal"/>
      <w:pStyle w:val="944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hint="default"/>
      </w:rPr>
    </w:lvl>
    <w:lvl w:ilvl="2">
      <w:start w:val="1"/>
      <w:numFmt w:val="decimal"/>
      <w:pStyle w:val="979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hint="default"/>
        <w:b w:val="0"/>
        <w:i w:val="0"/>
      </w:rPr>
    </w:lvl>
    <w:lvl w:ilvl="4">
      <w:start w:val="1"/>
      <w:numFmt w:val="lowerLetter"/>
      <w:pStyle w:val="983"/>
      <w:isLgl w:val="false"/>
      <w:suff w:val="tab"/>
      <w:lvlText w:val="%5)"/>
      <w:lvlJc w:val="left"/>
      <w:pPr>
        <w:ind w:left="1701" w:hanging="567"/>
        <w:tabs>
          <w:tab w:val="num" w:pos="1701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396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468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540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6120" w:leader="none"/>
        </w:tabs>
      </w:pPr>
      <w:rPr>
        <w:rFonts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decimal"/>
      <w:isLgl w:val="false"/>
      <w:suff w:val="tab"/>
      <w:lvlText w:val="1.%2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pStyle w:val="947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pStyle w:val="948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pStyle w:val="949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pStyle w:val="950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pStyle w:val="951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decimal"/>
      <w:pStyle w:val="1039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1836" w:hanging="576"/>
        <w:tabs>
          <w:tab w:val="num" w:pos="1836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left"/>
      <w:pPr>
        <w:ind w:left="1080"/>
        <w:tabs>
          <w:tab w:val="num" w:pos="130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num" w:pos="864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i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pStyle w:val="1050"/>
      <w:isLgl w:val="false"/>
      <w:suff w:val="tab"/>
      <w:lvlText w:val="%1."/>
      <w:lvlJc w:val="center"/>
      <w:pPr>
        <w:tabs>
          <w:tab w:val="num" w:pos="2977" w:leader="none"/>
        </w:tabs>
      </w:pPr>
      <w:rPr>
        <w:rFonts w:hint="default"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1052"/>
      <w:isLgl w:val="false"/>
      <w:suff w:val="tab"/>
      <w:lvlText w:val="%1.%2"/>
      <w:lvlJc w:val="left"/>
      <w:pPr>
        <w:ind w:firstLine="567"/>
        <w:tabs>
          <w:tab w:val="num" w:pos="4680" w:leader="none"/>
        </w:tabs>
      </w:pPr>
      <w:rPr>
        <w:rFonts w:hint="default" w:cs="Times New Roman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1051"/>
      <w:isLgl w:val="false"/>
      <w:suff w:val="tab"/>
      <w:lvlText w:val="%1.%2.%3"/>
      <w:lvlJc w:val="left"/>
      <w:pPr>
        <w:ind w:firstLine="567"/>
        <w:tabs>
          <w:tab w:val="num" w:pos="4399" w:leader="none"/>
        </w:tabs>
      </w:pPr>
      <w:rPr>
        <w:rFonts w:hint="default"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isLgl w:val="false"/>
      <w:suff w:val="tab"/>
      <w:lvlText w:val="%1.%2.%3.%4"/>
      <w:lvlJc w:val="left"/>
      <w:pPr>
        <w:ind w:firstLine="567"/>
        <w:tabs>
          <w:tab w:val="num" w:pos="1985" w:leader="none"/>
        </w:tabs>
      </w:pPr>
      <w:rPr>
        <w:rFonts w:hint="default" w:cs="Times New Roman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1053"/>
      <w:isLgl w:val="false"/>
      <w:suff w:val="tab"/>
      <w:lvlText w:val="%5)"/>
      <w:lvlJc w:val="left"/>
      <w:pPr>
        <w:ind w:firstLine="567"/>
        <w:tabs>
          <w:tab w:val="num" w:pos="1703" w:leader="none"/>
        </w:tabs>
      </w:pPr>
      <w:rPr>
        <w:rFonts w:hint="default" w:cs="Times New Roman"/>
        <w:b w:val="0"/>
        <w:bCs w:val="0"/>
        <w:i w:val="0"/>
        <w:iCs w:val="0"/>
      </w:rPr>
    </w:lvl>
    <w:lvl w:ilvl="5">
      <w:start w:val="1"/>
      <w:numFmt w:val="lowerLetter"/>
      <w:isLgl w:val="false"/>
      <w:suff w:val="tab"/>
      <w:lvlText w:val="%6)"/>
      <w:lvlJc w:val="left"/>
      <w:pPr>
        <w:ind w:left="2551" w:hanging="567"/>
        <w:tabs>
          <w:tab w:val="num" w:pos="2551" w:leader="none"/>
        </w:tabs>
      </w:pPr>
      <w:rPr>
        <w:rFonts w:hint="default" w:cs="Times New Roman"/>
      </w:rPr>
    </w:lvl>
    <w:lvl w:ilvl="6">
      <w:start w:val="1"/>
      <w:numFmt w:val="lowerRoman"/>
      <w:isLgl w:val="false"/>
      <w:suff w:val="tab"/>
      <w:lvlText w:val="%7)"/>
      <w:lvlJc w:val="left"/>
      <w:pPr>
        <w:ind w:left="2268" w:hanging="567"/>
        <w:tabs>
          <w:tab w:val="num" w:pos="2268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5.%6.%7.%8)"/>
      <w:lvlJc w:val="left"/>
      <w:pPr>
        <w:ind w:left="1448" w:hanging="567"/>
        <w:tabs>
          <w:tab w:val="num" w:pos="1448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6" w:hanging="1440"/>
        <w:tabs>
          <w:tab w:val="num" w:pos="4166" w:leader="none"/>
        </w:tabs>
      </w:pPr>
      <w:rPr>
        <w:rFonts w:hint="default" w:cs="Times New Roman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2"/>
  </w:num>
  <w:num w:numId="2">
    <w:abstractNumId w:val="22"/>
  </w:num>
  <w:num w:numId="3">
    <w:abstractNumId w:val="30"/>
  </w:num>
  <w:num w:numId="4">
    <w:abstractNumId w:val="25"/>
  </w:num>
  <w:num w:numId="5">
    <w:abstractNumId w:val="7"/>
  </w:num>
  <w:num w:numId="6">
    <w:abstractNumId w:val="10"/>
  </w:num>
  <w:num w:numId="7">
    <w:abstractNumId w:val="9"/>
  </w:num>
  <w:num w:numId="8">
    <w:abstractNumId w:val="32"/>
  </w:num>
  <w:num w:numId="9">
    <w:abstractNumId w:val="23"/>
  </w:num>
  <w:num w:numId="10">
    <w:abstractNumId w:val="26"/>
  </w:num>
  <w:num w:numId="11">
    <w:abstractNumId w:val="35"/>
  </w:num>
  <w:num w:numId="12">
    <w:abstractNumId w:val="27"/>
  </w:num>
  <w:num w:numId="13">
    <w:abstractNumId w:val="6"/>
  </w:num>
  <w:num w:numId="14">
    <w:abstractNumId w:val="37"/>
  </w:num>
  <w:num w:numId="15">
    <w:abstractNumId w:val="16"/>
  </w:num>
  <w:num w:numId="16">
    <w:abstractNumId w:val="13"/>
  </w:num>
  <w:num w:numId="17">
    <w:abstractNumId w:val="12"/>
  </w:num>
  <w:num w:numId="18">
    <w:abstractNumId w:val="24"/>
  </w:num>
  <w:num w:numId="19">
    <w:abstractNumId w:val="21"/>
  </w:num>
  <w:num w:numId="20">
    <w:abstractNumId w:val="5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20"/>
  </w:num>
  <w:num w:numId="24">
    <w:abstractNumId w:val="18"/>
  </w:num>
  <w:num w:numId="25">
    <w:abstractNumId w:val="31"/>
  </w:num>
  <w:num w:numId="26">
    <w:abstractNumId w:val="11"/>
  </w:num>
  <w:num w:numId="27">
    <w:abstractNumId w:val="2"/>
  </w:num>
  <w:num w:numId="28">
    <w:abstractNumId w:val="33"/>
  </w:num>
  <w:num w:numId="29">
    <w:abstractNumId w:val="4"/>
  </w:num>
  <w:num w:numId="30">
    <w:abstractNumId w:val="0"/>
  </w:num>
  <w:num w:numId="31">
    <w:abstractNumId w:val="29"/>
  </w:num>
  <w:num w:numId="32">
    <w:abstractNumId w:val="17"/>
  </w:num>
  <w:num w:numId="33">
    <w:abstractNumId w:val="3"/>
  </w:num>
  <w:num w:numId="34">
    <w:abstractNumId w:val="34"/>
  </w:num>
  <w:num w:numId="35">
    <w:abstractNumId w:val="1"/>
  </w:num>
  <w:num w:numId="36">
    <w:abstractNumId w:val="28"/>
  </w:num>
  <w:num w:numId="37">
    <w:abstractNumId w:val="8"/>
  </w:num>
  <w:num w:numId="38">
    <w:abstractNumId w:val="36"/>
  </w:num>
  <w:num w:numId="39">
    <w:abstractNumId w:val="14"/>
  </w:num>
  <w:num w:numId="4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567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90">
    <w:name w:val="Heading 1 Char"/>
    <w:basedOn w:val="952"/>
    <w:link w:val="943"/>
    <w:uiPriority w:val="9"/>
    <w:rPr>
      <w:rFonts w:ascii="Arial" w:hAnsi="Arial" w:eastAsia="Arial" w:cs="Arial"/>
      <w:sz w:val="40"/>
      <w:szCs w:val="40"/>
    </w:rPr>
  </w:style>
  <w:style w:type="character" w:styleId="791">
    <w:name w:val="Heading 2 Char"/>
    <w:basedOn w:val="952"/>
    <w:link w:val="944"/>
    <w:uiPriority w:val="9"/>
    <w:rPr>
      <w:rFonts w:ascii="Arial" w:hAnsi="Arial" w:eastAsia="Arial" w:cs="Arial"/>
      <w:sz w:val="34"/>
    </w:rPr>
  </w:style>
  <w:style w:type="character" w:styleId="792">
    <w:name w:val="Heading 3 Char"/>
    <w:basedOn w:val="952"/>
    <w:link w:val="945"/>
    <w:uiPriority w:val="9"/>
    <w:rPr>
      <w:rFonts w:ascii="Arial" w:hAnsi="Arial" w:eastAsia="Arial" w:cs="Arial"/>
      <w:sz w:val="30"/>
      <w:szCs w:val="30"/>
    </w:rPr>
  </w:style>
  <w:style w:type="character" w:styleId="793">
    <w:name w:val="Heading 4 Char"/>
    <w:basedOn w:val="952"/>
    <w:link w:val="946"/>
    <w:uiPriority w:val="9"/>
    <w:rPr>
      <w:rFonts w:ascii="Arial" w:hAnsi="Arial" w:eastAsia="Arial" w:cs="Arial"/>
      <w:b/>
      <w:bCs/>
      <w:sz w:val="26"/>
      <w:szCs w:val="26"/>
    </w:rPr>
  </w:style>
  <w:style w:type="character" w:styleId="794">
    <w:name w:val="Heading 5 Char"/>
    <w:basedOn w:val="952"/>
    <w:link w:val="947"/>
    <w:uiPriority w:val="9"/>
    <w:rPr>
      <w:rFonts w:ascii="Arial" w:hAnsi="Arial" w:eastAsia="Arial" w:cs="Arial"/>
      <w:b/>
      <w:bCs/>
      <w:sz w:val="24"/>
      <w:szCs w:val="24"/>
    </w:rPr>
  </w:style>
  <w:style w:type="character" w:styleId="795">
    <w:name w:val="Heading 6 Char"/>
    <w:basedOn w:val="952"/>
    <w:link w:val="948"/>
    <w:uiPriority w:val="9"/>
    <w:rPr>
      <w:rFonts w:ascii="Arial" w:hAnsi="Arial" w:eastAsia="Arial" w:cs="Arial"/>
      <w:b/>
      <w:bCs/>
      <w:sz w:val="22"/>
      <w:szCs w:val="22"/>
    </w:rPr>
  </w:style>
  <w:style w:type="character" w:styleId="796">
    <w:name w:val="Heading 7 Char"/>
    <w:basedOn w:val="952"/>
    <w:link w:val="94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97">
    <w:name w:val="Heading 8 Char"/>
    <w:basedOn w:val="952"/>
    <w:link w:val="950"/>
    <w:uiPriority w:val="9"/>
    <w:rPr>
      <w:rFonts w:ascii="Arial" w:hAnsi="Arial" w:eastAsia="Arial" w:cs="Arial"/>
      <w:i/>
      <w:iCs/>
      <w:sz w:val="22"/>
      <w:szCs w:val="22"/>
    </w:rPr>
  </w:style>
  <w:style w:type="character" w:styleId="798">
    <w:name w:val="Heading 9 Char"/>
    <w:basedOn w:val="952"/>
    <w:link w:val="951"/>
    <w:uiPriority w:val="9"/>
    <w:rPr>
      <w:rFonts w:ascii="Arial" w:hAnsi="Arial" w:eastAsia="Arial" w:cs="Arial"/>
      <w:i/>
      <w:iCs/>
      <w:sz w:val="21"/>
      <w:szCs w:val="21"/>
    </w:rPr>
  </w:style>
  <w:style w:type="paragraph" w:styleId="799">
    <w:name w:val="No Spacing"/>
    <w:uiPriority w:val="1"/>
    <w:qFormat/>
    <w:pPr>
      <w:spacing w:before="0" w:after="0" w:line="240" w:lineRule="auto"/>
    </w:pPr>
  </w:style>
  <w:style w:type="paragraph" w:styleId="800">
    <w:name w:val="Title"/>
    <w:basedOn w:val="942"/>
    <w:next w:val="942"/>
    <w:link w:val="80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01">
    <w:name w:val="Title Char"/>
    <w:basedOn w:val="952"/>
    <w:link w:val="800"/>
    <w:uiPriority w:val="10"/>
    <w:rPr>
      <w:sz w:val="48"/>
      <w:szCs w:val="48"/>
    </w:rPr>
  </w:style>
  <w:style w:type="paragraph" w:styleId="802">
    <w:name w:val="Subtitle"/>
    <w:basedOn w:val="942"/>
    <w:next w:val="942"/>
    <w:link w:val="803"/>
    <w:uiPriority w:val="11"/>
    <w:qFormat/>
    <w:pPr>
      <w:spacing w:before="200" w:after="200"/>
    </w:pPr>
    <w:rPr>
      <w:sz w:val="24"/>
      <w:szCs w:val="24"/>
    </w:rPr>
  </w:style>
  <w:style w:type="character" w:styleId="803">
    <w:name w:val="Subtitle Char"/>
    <w:basedOn w:val="952"/>
    <w:link w:val="802"/>
    <w:uiPriority w:val="11"/>
    <w:rPr>
      <w:sz w:val="24"/>
      <w:szCs w:val="24"/>
    </w:rPr>
  </w:style>
  <w:style w:type="paragraph" w:styleId="804">
    <w:name w:val="Quote"/>
    <w:basedOn w:val="942"/>
    <w:next w:val="942"/>
    <w:link w:val="805"/>
    <w:uiPriority w:val="29"/>
    <w:qFormat/>
    <w:pPr>
      <w:ind w:left="720" w:right="720"/>
    </w:pPr>
    <w:rPr>
      <w:i/>
    </w:rPr>
  </w:style>
  <w:style w:type="character" w:styleId="805">
    <w:name w:val="Quote Char"/>
    <w:link w:val="804"/>
    <w:uiPriority w:val="29"/>
    <w:rPr>
      <w:i/>
    </w:rPr>
  </w:style>
  <w:style w:type="paragraph" w:styleId="806">
    <w:name w:val="Intense Quote"/>
    <w:basedOn w:val="942"/>
    <w:next w:val="942"/>
    <w:link w:val="80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07">
    <w:name w:val="Intense Quote Char"/>
    <w:link w:val="806"/>
    <w:uiPriority w:val="30"/>
    <w:rPr>
      <w:i/>
    </w:rPr>
  </w:style>
  <w:style w:type="character" w:styleId="808">
    <w:name w:val="Header Char"/>
    <w:basedOn w:val="952"/>
    <w:link w:val="955"/>
    <w:uiPriority w:val="99"/>
  </w:style>
  <w:style w:type="character" w:styleId="809">
    <w:name w:val="Footer Char"/>
    <w:basedOn w:val="952"/>
    <w:link w:val="956"/>
    <w:uiPriority w:val="99"/>
  </w:style>
  <w:style w:type="character" w:styleId="810">
    <w:name w:val="Caption Char"/>
    <w:basedOn w:val="952"/>
    <w:link w:val="969"/>
    <w:uiPriority w:val="35"/>
    <w:rPr>
      <w:b/>
      <w:bCs/>
      <w:color w:val="4f81bd" w:themeColor="accent1"/>
      <w:sz w:val="18"/>
      <w:szCs w:val="18"/>
    </w:rPr>
  </w:style>
  <w:style w:type="table" w:styleId="811">
    <w:name w:val="Table Grid Light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>
    <w:name w:val="Plain Table 1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3">
    <w:name w:val="Plain Table 2"/>
    <w:basedOn w:val="9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14">
    <w:name w:val="Plain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15">
    <w:name w:val="Plain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6">
    <w:name w:val="Plain Table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17">
    <w:name w:val="Grid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8">
    <w:name w:val="Grid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9">
    <w:name w:val="Grid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>
    <w:name w:val="Grid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>
    <w:name w:val="Grid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>
    <w:name w:val="Grid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>
    <w:name w:val="Grid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>
    <w:name w:val="Grid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Grid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Grid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Grid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Grid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Grid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39">
    <w:name w:val="Grid Table 4 - Accent 1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40">
    <w:name w:val="Grid Table 4 - Accent 2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41">
    <w:name w:val="Grid Table 4 - Accent 3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42">
    <w:name w:val="Grid Table 4 - Accent 4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43">
    <w:name w:val="Grid Table 4 - Accent 5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44">
    <w:name w:val="Grid Table 4 - Accent 6"/>
    <w:basedOn w:val="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5">
    <w:name w:val="Grid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6">
    <w:name w:val="Grid Table 5 Dark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47">
    <w:name w:val="Grid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48">
    <w:name w:val="Grid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49">
    <w:name w:val="Grid Table 5 Dark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50">
    <w:name w:val="Grid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51">
    <w:name w:val="Grid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52">
    <w:name w:val="Grid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53">
    <w:name w:val="Grid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54">
    <w:name w:val="Grid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55">
    <w:name w:val="Grid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56">
    <w:name w:val="Grid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57">
    <w:name w:val="Grid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8">
    <w:name w:val="Grid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59">
    <w:name w:val="Grid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List Table 1 Light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List Table 1 Light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List Table 1 Light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List Table 1 Light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List Table 1 Light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List Table 1 Light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List Table 1 Light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List Table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74">
    <w:name w:val="List Table 2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75">
    <w:name w:val="List Table 2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76">
    <w:name w:val="List Table 2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77">
    <w:name w:val="List Table 2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78">
    <w:name w:val="List Table 2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79">
    <w:name w:val="List Table 2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80">
    <w:name w:val="List Table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List Table 3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>
    <w:name w:val="List Table 3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3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List Table 3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List Table 3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List Table 3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List Table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List Table 4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List Table 4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0">
    <w:name w:val="List Table 4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1">
    <w:name w:val="List Table 4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2">
    <w:name w:val="List Table 4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3">
    <w:name w:val="List Table 4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4">
    <w:name w:val="List Table 5 Dark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5">
    <w:name w:val="List Table 5 Dark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6">
    <w:name w:val="List Table 5 Dark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7">
    <w:name w:val="List Table 5 Dark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8">
    <w:name w:val="List Table 5 Dark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99">
    <w:name w:val="List Table 5 Dark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0">
    <w:name w:val="List Table 5 Dark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01">
    <w:name w:val="List Table 6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02">
    <w:name w:val="List Table 6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03">
    <w:name w:val="List Table 6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04">
    <w:name w:val="List Table 6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05">
    <w:name w:val="List Table 6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06">
    <w:name w:val="List Table 6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07">
    <w:name w:val="List Table 6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08">
    <w:name w:val="List Table 7 Colorful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09">
    <w:name w:val="List Table 7 Colorful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10">
    <w:name w:val="List Table 7 Colorful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11">
    <w:name w:val="List Table 7 Colorful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12">
    <w:name w:val="List Table 7 Colorful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13">
    <w:name w:val="List Table 7 Colorful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14">
    <w:name w:val="List Table 7 Colorful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15">
    <w:name w:val="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16">
    <w:name w:val="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17">
    <w:name w:val="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18">
    <w:name w:val="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19">
    <w:name w:val="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0">
    <w:name w:val="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1">
    <w:name w:val="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2">
    <w:name w:val="Bordered &amp; Lined - Accent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23">
    <w:name w:val="Bordered &amp; Lined - Accent 1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24">
    <w:name w:val="Bordered &amp; Lined - Accent 2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25">
    <w:name w:val="Bordered &amp; Lined - Accent 3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26">
    <w:name w:val="Bordered &amp; Lined - Accent 4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27">
    <w:name w:val="Bordered &amp; Lined - Accent 5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28">
    <w:name w:val="Bordered &amp; Lined - Accent 6"/>
    <w:basedOn w:val="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29">
    <w:name w:val="Bordered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30">
    <w:name w:val="Bordered - Accent 1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31">
    <w:name w:val="Bordered - Accent 2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32">
    <w:name w:val="Bordered - Accent 3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33">
    <w:name w:val="Bordered - Accent 4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34">
    <w:name w:val="Bordered - Accent 5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35">
    <w:name w:val="Bordered - Accent 6"/>
    <w:basedOn w:val="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36">
    <w:name w:val="Footnote Text Char"/>
    <w:link w:val="967"/>
    <w:uiPriority w:val="99"/>
    <w:rPr>
      <w:sz w:val="18"/>
    </w:rPr>
  </w:style>
  <w:style w:type="paragraph" w:styleId="937">
    <w:name w:val="endnote text"/>
    <w:basedOn w:val="942"/>
    <w:link w:val="938"/>
    <w:uiPriority w:val="99"/>
    <w:semiHidden/>
    <w:unhideWhenUsed/>
    <w:pPr>
      <w:spacing w:after="0" w:line="240" w:lineRule="auto"/>
    </w:pPr>
    <w:rPr>
      <w:sz w:val="20"/>
    </w:rPr>
  </w:style>
  <w:style w:type="character" w:styleId="938">
    <w:name w:val="Endnote Text Char"/>
    <w:link w:val="937"/>
    <w:uiPriority w:val="99"/>
    <w:rPr>
      <w:sz w:val="20"/>
    </w:rPr>
  </w:style>
  <w:style w:type="character" w:styleId="939">
    <w:name w:val="endnote reference"/>
    <w:basedOn w:val="952"/>
    <w:uiPriority w:val="99"/>
    <w:semiHidden/>
    <w:unhideWhenUsed/>
    <w:rPr>
      <w:vertAlign w:val="superscript"/>
    </w:rPr>
  </w:style>
  <w:style w:type="paragraph" w:styleId="940">
    <w:name w:val="TOC Heading"/>
    <w:uiPriority w:val="39"/>
    <w:unhideWhenUsed/>
  </w:style>
  <w:style w:type="paragraph" w:styleId="941">
    <w:name w:val="table of figures"/>
    <w:basedOn w:val="942"/>
    <w:next w:val="942"/>
    <w:uiPriority w:val="99"/>
    <w:unhideWhenUsed/>
    <w:pPr>
      <w:spacing w:after="0" w:afterAutospacing="0"/>
    </w:pPr>
  </w:style>
  <w:style w:type="paragraph" w:styleId="942" w:default="1">
    <w:name w:val="Normal"/>
    <w:qFormat/>
    <w:pPr>
      <w:ind w:firstLine="567"/>
      <w:jc w:val="both"/>
      <w:spacing w:line="360" w:lineRule="auto"/>
    </w:pPr>
    <w:rPr>
      <w:sz w:val="28"/>
    </w:rPr>
  </w:style>
  <w:style w:type="paragraph" w:styleId="943">
    <w:name w:val="Heading 1"/>
    <w:basedOn w:val="942"/>
    <w:next w:val="942"/>
    <w:qFormat/>
    <w:pPr>
      <w:numPr>
        <w:ilvl w:val="0"/>
        <w:numId w:val="4"/>
      </w:numPr>
      <w:jc w:val="left"/>
      <w:keepLines/>
      <w:keepNext/>
      <w:pageBreakBefore/>
      <w:spacing w:before="480" w:after="240" w:line="240" w:lineRule="auto"/>
      <w:outlineLvl w:val="0"/>
    </w:pPr>
    <w:rPr>
      <w:rFonts w:ascii="Arial" w:hAnsi="Arial"/>
      <w:b/>
      <w:sz w:val="40"/>
    </w:rPr>
  </w:style>
  <w:style w:type="paragraph" w:styleId="944">
    <w:name w:val="Heading 2"/>
    <w:basedOn w:val="942"/>
    <w:next w:val="942"/>
    <w:qFormat/>
    <w:pPr>
      <w:numPr>
        <w:ilvl w:val="1"/>
        <w:numId w:val="4"/>
      </w:numPr>
      <w:jc w:val="left"/>
      <w:keepNext/>
      <w:spacing w:before="360" w:after="120" w:line="240" w:lineRule="auto"/>
      <w:outlineLvl w:val="1"/>
    </w:pPr>
    <w:rPr>
      <w:b/>
      <w:sz w:val="32"/>
    </w:rPr>
  </w:style>
  <w:style w:type="paragraph" w:styleId="945">
    <w:name w:val="Heading 3"/>
    <w:basedOn w:val="942"/>
    <w:next w:val="942"/>
    <w:qFormat/>
    <w:pPr>
      <w:numPr>
        <w:ilvl w:val="2"/>
        <w:numId w:val="2"/>
      </w:numPr>
      <w:jc w:val="left"/>
      <w:keepNext/>
      <w:spacing w:before="120" w:after="120" w:line="240" w:lineRule="auto"/>
      <w:outlineLvl w:val="2"/>
    </w:pPr>
    <w:rPr>
      <w:b/>
    </w:rPr>
  </w:style>
  <w:style w:type="paragraph" w:styleId="946">
    <w:name w:val="Heading 4"/>
    <w:basedOn w:val="942"/>
    <w:next w:val="942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947">
    <w:name w:val="Heading 5"/>
    <w:basedOn w:val="942"/>
    <w:next w:val="942"/>
    <w:qFormat/>
    <w:pPr>
      <w:numPr>
        <w:ilvl w:val="4"/>
        <w:numId w:val="3"/>
      </w:numPr>
      <w:ind w:left="1080" w:hanging="1080"/>
      <w:keepNext/>
      <w:spacing w:before="60"/>
      <w:tabs>
        <w:tab w:val="clear" w:pos="1008" w:leader="none"/>
        <w:tab w:val="num" w:pos="1080" w:leader="none"/>
      </w:tabs>
      <w:outlineLvl w:val="4"/>
    </w:pPr>
    <w:rPr>
      <w:b/>
      <w:sz w:val="26"/>
    </w:rPr>
  </w:style>
  <w:style w:type="paragraph" w:styleId="948">
    <w:name w:val="Heading 6"/>
    <w:basedOn w:val="942"/>
    <w:next w:val="942"/>
    <w:qFormat/>
    <w:pPr>
      <w:numPr>
        <w:ilvl w:val="5"/>
        <w:numId w:val="3"/>
      </w:numPr>
      <w:ind w:left="1080" w:hanging="1080"/>
      <w:spacing w:before="240" w:after="60"/>
      <w:widowControl w:val="off"/>
      <w:tabs>
        <w:tab w:val="num" w:pos="1080" w:leader="none"/>
        <w:tab w:val="clear" w:pos="1152" w:leader="none"/>
      </w:tabs>
      <w:outlineLvl w:val="5"/>
    </w:pPr>
    <w:rPr>
      <w:b/>
      <w:sz w:val="22"/>
    </w:rPr>
  </w:style>
  <w:style w:type="paragraph" w:styleId="949">
    <w:name w:val="Heading 7"/>
    <w:basedOn w:val="942"/>
    <w:next w:val="942"/>
    <w:qFormat/>
    <w:pPr>
      <w:numPr>
        <w:ilvl w:val="6"/>
        <w:numId w:val="3"/>
      </w:numPr>
      <w:ind w:left="1440" w:hanging="1440"/>
      <w:spacing w:before="240" w:after="60"/>
      <w:widowControl w:val="off"/>
      <w:tabs>
        <w:tab w:val="clear" w:pos="1296" w:leader="none"/>
        <w:tab w:val="num" w:pos="1440" w:leader="none"/>
      </w:tabs>
      <w:outlineLvl w:val="6"/>
    </w:pPr>
    <w:rPr>
      <w:sz w:val="26"/>
    </w:rPr>
  </w:style>
  <w:style w:type="paragraph" w:styleId="950">
    <w:name w:val="Heading 8"/>
    <w:basedOn w:val="942"/>
    <w:next w:val="942"/>
    <w:qFormat/>
    <w:pPr>
      <w:numPr>
        <w:ilvl w:val="7"/>
        <w:numId w:val="3"/>
      </w:numPr>
      <w:spacing w:before="240" w:after="60"/>
      <w:widowControl w:val="off"/>
      <w:outlineLvl w:val="7"/>
    </w:pPr>
    <w:rPr>
      <w:i/>
      <w:sz w:val="26"/>
    </w:rPr>
  </w:style>
  <w:style w:type="paragraph" w:styleId="951">
    <w:name w:val="Heading 9"/>
    <w:basedOn w:val="942"/>
    <w:next w:val="942"/>
    <w:qFormat/>
    <w:pPr>
      <w:numPr>
        <w:ilvl w:val="8"/>
        <w:numId w:val="3"/>
      </w:numPr>
      <w:ind w:left="1800" w:hanging="1800"/>
      <w:spacing w:before="240" w:after="60"/>
      <w:widowControl w:val="off"/>
      <w:tabs>
        <w:tab w:val="clear" w:pos="1584" w:leader="none"/>
        <w:tab w:val="num" w:pos="1800" w:leader="none"/>
      </w:tabs>
      <w:outlineLvl w:val="8"/>
    </w:pPr>
    <w:rPr>
      <w:rFonts w:ascii="Arial" w:hAnsi="Arial"/>
      <w:sz w:val="22"/>
    </w:rPr>
  </w:style>
  <w:style w:type="character" w:styleId="952" w:default="1">
    <w:name w:val="Default Paragraph Font"/>
    <w:uiPriority w:val="1"/>
    <w:semiHidden/>
    <w:unhideWhenUsed/>
  </w:style>
  <w:style w:type="table" w:styleId="95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54" w:default="1">
    <w:name w:val="No List"/>
    <w:uiPriority w:val="99"/>
    <w:semiHidden/>
    <w:unhideWhenUsed/>
  </w:style>
  <w:style w:type="paragraph" w:styleId="955">
    <w:name w:val="Header"/>
    <w:basedOn w:val="942"/>
    <w:pPr>
      <w:ind w:firstLine="0"/>
      <w:jc w:val="center"/>
      <w:spacing w:line="240" w:lineRule="auto"/>
      <w:tabs>
        <w:tab w:val="center" w:pos="4153" w:leader="none"/>
        <w:tab w:val="right" w:pos="8306" w:leader="none"/>
      </w:tabs>
      <w:pBdr>
        <w:bottom w:val="single" w:color="000000" w:sz="4" w:space="1"/>
      </w:pBdr>
    </w:pPr>
    <w:rPr>
      <w:i/>
      <w:sz w:val="20"/>
    </w:rPr>
  </w:style>
  <w:style w:type="paragraph" w:styleId="956">
    <w:name w:val="Footer"/>
    <w:basedOn w:val="942"/>
    <w:link w:val="1016"/>
    <w:uiPriority w:val="99"/>
    <w:pPr>
      <w:ind w:firstLine="0"/>
      <w:spacing w:line="240" w:lineRule="auto"/>
      <w:tabs>
        <w:tab w:val="center" w:pos="4253" w:leader="none"/>
        <w:tab w:val="right" w:pos="9356" w:leader="none"/>
      </w:tabs>
    </w:pPr>
    <w:rPr>
      <w:sz w:val="20"/>
    </w:rPr>
  </w:style>
  <w:style w:type="character" w:styleId="957">
    <w:name w:val="Hyperlink"/>
    <w:uiPriority w:val="99"/>
    <w:rPr>
      <w:color w:val="0000ff"/>
      <w:u w:val="single"/>
    </w:rPr>
  </w:style>
  <w:style w:type="character" w:styleId="958">
    <w:name w:val="footnote reference"/>
    <w:semiHidden/>
    <w:rPr>
      <w:vertAlign w:val="superscript"/>
    </w:rPr>
  </w:style>
  <w:style w:type="character" w:styleId="959">
    <w:name w:val="page number"/>
    <w:rPr>
      <w:rFonts w:ascii="Times New Roman" w:hAnsi="Times New Roman"/>
      <w:sz w:val="20"/>
    </w:rPr>
  </w:style>
  <w:style w:type="paragraph" w:styleId="960">
    <w:name w:val="toc 1"/>
    <w:basedOn w:val="942"/>
    <w:next w:val="942"/>
    <w:semiHidden/>
    <w:pPr>
      <w:ind w:left="539" w:right="1134" w:hanging="539"/>
      <w:jc w:val="left"/>
      <w:spacing w:before="240" w:after="120" w:line="240" w:lineRule="auto"/>
      <w:tabs>
        <w:tab w:val="left" w:pos="540" w:leader="none"/>
        <w:tab w:val="right" w:pos="10195" w:leader="dot"/>
      </w:tabs>
    </w:pPr>
    <w:rPr>
      <w:b/>
      <w:bCs/>
      <w:caps/>
      <w:szCs w:val="28"/>
    </w:rPr>
  </w:style>
  <w:style w:type="paragraph" w:styleId="961">
    <w:name w:val="toc 2"/>
    <w:basedOn w:val="942"/>
    <w:next w:val="942"/>
    <w:semiHidden/>
    <w:pPr>
      <w:ind w:left="1134" w:right="1134" w:hanging="594"/>
      <w:jc w:val="left"/>
      <w:spacing w:before="120" w:after="120" w:line="240" w:lineRule="auto"/>
      <w:tabs>
        <w:tab w:val="left" w:pos="1080" w:leader="none"/>
        <w:tab w:val="right" w:pos="10195" w:leader="dot"/>
      </w:tabs>
    </w:pPr>
    <w:rPr>
      <w:b/>
      <w:sz w:val="24"/>
      <w:szCs w:val="24"/>
    </w:rPr>
  </w:style>
  <w:style w:type="paragraph" w:styleId="962">
    <w:name w:val="toc 3"/>
    <w:basedOn w:val="942"/>
    <w:next w:val="942"/>
    <w:semiHidden/>
    <w:pPr>
      <w:ind w:left="1979" w:right="1134" w:hanging="902"/>
      <w:jc w:val="left"/>
      <w:spacing w:after="120" w:line="240" w:lineRule="auto"/>
      <w:tabs>
        <w:tab w:val="left" w:pos="1980" w:leader="none"/>
        <w:tab w:val="right" w:pos="10195" w:leader="dot"/>
      </w:tabs>
    </w:pPr>
    <w:rPr>
      <w:iCs/>
      <w:sz w:val="24"/>
      <w:szCs w:val="24"/>
    </w:rPr>
  </w:style>
  <w:style w:type="paragraph" w:styleId="963">
    <w:name w:val="toc 4"/>
    <w:basedOn w:val="942"/>
    <w:next w:val="942"/>
    <w:semiHidden/>
    <w:pPr>
      <w:ind w:left="2268" w:right="1134" w:hanging="567"/>
      <w:jc w:val="left"/>
      <w:spacing w:after="60" w:line="240" w:lineRule="auto"/>
      <w:tabs>
        <w:tab w:val="left" w:pos="2268" w:leader="none"/>
        <w:tab w:val="right" w:pos="10195" w:leader="dot"/>
      </w:tabs>
    </w:pPr>
    <w:rPr>
      <w:sz w:val="24"/>
      <w:szCs w:val="24"/>
    </w:rPr>
  </w:style>
  <w:style w:type="character" w:styleId="964">
    <w:name w:val="FollowedHyperlink"/>
    <w:rPr>
      <w:color w:val="800080"/>
      <w:u w:val="single"/>
    </w:rPr>
  </w:style>
  <w:style w:type="paragraph" w:styleId="965">
    <w:name w:val="Document Map"/>
    <w:basedOn w:val="942"/>
    <w:semiHidden/>
    <w:pPr>
      <w:shd w:val="clear" w:color="auto" w:fill="000080"/>
    </w:pPr>
    <w:rPr>
      <w:rFonts w:ascii="Tahoma" w:hAnsi="Tahoma"/>
      <w:sz w:val="20"/>
    </w:rPr>
  </w:style>
  <w:style w:type="paragraph" w:styleId="966" w:customStyle="1">
    <w:name w:val="Таблица шапка"/>
    <w:basedOn w:val="942"/>
    <w:pPr>
      <w:ind w:left="57" w:right="57" w:firstLine="0"/>
      <w:jc w:val="left"/>
      <w:keepNext/>
      <w:spacing w:before="40" w:after="40" w:line="240" w:lineRule="auto"/>
    </w:pPr>
    <w:rPr>
      <w:sz w:val="22"/>
    </w:rPr>
  </w:style>
  <w:style w:type="paragraph" w:styleId="967">
    <w:name w:val="footnote text"/>
    <w:basedOn w:val="942"/>
    <w:semiHidden/>
    <w:pPr>
      <w:spacing w:line="240" w:lineRule="auto"/>
    </w:pPr>
    <w:rPr>
      <w:sz w:val="20"/>
    </w:rPr>
  </w:style>
  <w:style w:type="paragraph" w:styleId="968" w:customStyle="1">
    <w:name w:val="Таблица текст"/>
    <w:basedOn w:val="942"/>
    <w:link w:val="1036"/>
    <w:pPr>
      <w:ind w:left="57" w:right="57" w:firstLine="0"/>
      <w:jc w:val="left"/>
      <w:spacing w:before="40" w:after="40" w:line="240" w:lineRule="auto"/>
    </w:pPr>
    <w:rPr>
      <w:sz w:val="24"/>
    </w:rPr>
  </w:style>
  <w:style w:type="paragraph" w:styleId="969">
    <w:name w:val="Caption"/>
    <w:basedOn w:val="942"/>
    <w:next w:val="942"/>
    <w:link w:val="810"/>
    <w:qFormat/>
    <w:pPr>
      <w:ind w:firstLine="0"/>
      <w:pageBreakBefore/>
      <w:spacing w:before="120" w:after="120" w:line="240" w:lineRule="auto"/>
    </w:pPr>
    <w:rPr>
      <w:bCs/>
      <w:i/>
      <w:sz w:val="24"/>
    </w:rPr>
  </w:style>
  <w:style w:type="paragraph" w:styleId="970">
    <w:name w:val="toc 5"/>
    <w:basedOn w:val="942"/>
    <w:next w:val="942"/>
    <w:semiHidden/>
    <w:pPr>
      <w:ind w:left="1120"/>
      <w:jc w:val="left"/>
    </w:pPr>
    <w:rPr>
      <w:sz w:val="18"/>
      <w:szCs w:val="18"/>
    </w:rPr>
  </w:style>
  <w:style w:type="paragraph" w:styleId="971">
    <w:name w:val="toc 6"/>
    <w:basedOn w:val="942"/>
    <w:next w:val="942"/>
    <w:semiHidden/>
    <w:pPr>
      <w:ind w:left="1400"/>
      <w:jc w:val="left"/>
    </w:pPr>
    <w:rPr>
      <w:sz w:val="18"/>
      <w:szCs w:val="18"/>
    </w:rPr>
  </w:style>
  <w:style w:type="paragraph" w:styleId="972">
    <w:name w:val="toc 7"/>
    <w:basedOn w:val="942"/>
    <w:next w:val="942"/>
    <w:semiHidden/>
    <w:pPr>
      <w:ind w:left="1680"/>
      <w:jc w:val="left"/>
    </w:pPr>
    <w:rPr>
      <w:sz w:val="18"/>
      <w:szCs w:val="18"/>
    </w:rPr>
  </w:style>
  <w:style w:type="paragraph" w:styleId="973">
    <w:name w:val="toc 8"/>
    <w:basedOn w:val="942"/>
    <w:next w:val="942"/>
    <w:semiHidden/>
    <w:pPr>
      <w:ind w:left="1960"/>
      <w:jc w:val="left"/>
    </w:pPr>
    <w:rPr>
      <w:sz w:val="18"/>
      <w:szCs w:val="18"/>
    </w:rPr>
  </w:style>
  <w:style w:type="paragraph" w:styleId="974">
    <w:name w:val="toc 9"/>
    <w:basedOn w:val="942"/>
    <w:next w:val="942"/>
    <w:semiHidden/>
    <w:pPr>
      <w:ind w:left="2240"/>
      <w:jc w:val="left"/>
    </w:pPr>
    <w:rPr>
      <w:sz w:val="18"/>
      <w:szCs w:val="18"/>
    </w:rPr>
  </w:style>
  <w:style w:type="paragraph" w:styleId="975" w:customStyle="1">
    <w:name w:val="Служебный"/>
    <w:basedOn w:val="976"/>
  </w:style>
  <w:style w:type="paragraph" w:styleId="976" w:customStyle="1">
    <w:name w:val="Главы"/>
    <w:basedOn w:val="977"/>
    <w:next w:val="942"/>
    <w:pPr>
      <w:ind w:right="0"/>
      <w:jc w:val="center"/>
      <w:spacing w:before="1440" w:after="720" w:line="360" w:lineRule="auto"/>
      <w:pBdr>
        <w:bottom w:val="none" w:color="000000" w:sz="0" w:space="0"/>
      </w:pBdr>
    </w:pPr>
    <w:rPr>
      <w:spacing w:val="40"/>
      <w:sz w:val="44"/>
      <w:szCs w:val="44"/>
    </w:rPr>
  </w:style>
  <w:style w:type="paragraph" w:styleId="977" w:customStyle="1">
    <w:name w:val="Структура"/>
    <w:basedOn w:val="942"/>
    <w:pPr>
      <w:ind w:right="2835" w:firstLine="0"/>
      <w:jc w:val="left"/>
      <w:pageBreakBefore/>
      <w:spacing w:before="480" w:after="240" w:line="240" w:lineRule="auto"/>
      <w:tabs>
        <w:tab w:val="left" w:pos="851" w:leader="none"/>
      </w:tabs>
      <w:pBdr>
        <w:bottom w:val="single" w:color="000000" w:sz="24" w:space="1"/>
      </w:pBdr>
      <w:outlineLvl w:val="0"/>
    </w:pPr>
    <w:rPr>
      <w:rFonts w:ascii="Arial" w:hAnsi="Arial" w:cs="Arial"/>
      <w:b/>
      <w:caps/>
      <w:sz w:val="36"/>
      <w:szCs w:val="36"/>
    </w:rPr>
  </w:style>
  <w:style w:type="paragraph" w:styleId="978" w:customStyle="1">
    <w:name w:val="маркированный"/>
    <w:basedOn w:val="942"/>
    <w:semiHidden/>
    <w:pPr>
      <w:ind w:firstLine="0"/>
    </w:pPr>
  </w:style>
  <w:style w:type="paragraph" w:styleId="979" w:customStyle="1">
    <w:name w:val="Пункт"/>
    <w:basedOn w:val="942"/>
    <w:pPr>
      <w:numPr>
        <w:ilvl w:val="2"/>
        <w:numId w:val="4"/>
      </w:numPr>
    </w:pPr>
  </w:style>
  <w:style w:type="character" w:styleId="980" w:customStyle="1">
    <w:name w:val="Пункт Знак"/>
    <w:rPr>
      <w:sz w:val="28"/>
      <w:lang w:val="ru-RU" w:eastAsia="ru-RU" w:bidi="ar-SA"/>
    </w:rPr>
  </w:style>
  <w:style w:type="paragraph" w:styleId="981" w:customStyle="1">
    <w:name w:val="Подпункт"/>
    <w:basedOn w:val="942"/>
    <w:link w:val="1014"/>
    <w:pPr>
      <w:ind w:left="1134" w:hanging="1134"/>
      <w:tabs>
        <w:tab w:val="num" w:pos="1134" w:leader="none"/>
      </w:tabs>
    </w:pPr>
  </w:style>
  <w:style w:type="character" w:styleId="982" w:customStyle="1">
    <w:name w:val="комментарий"/>
    <w:rPr>
      <w:b/>
      <w:i/>
      <w:shd w:val="clear" w:color="auto" w:fill="ffff99"/>
    </w:rPr>
  </w:style>
  <w:style w:type="paragraph" w:styleId="983" w:customStyle="1">
    <w:name w:val="Пункт-2"/>
    <w:basedOn w:val="979"/>
    <w:pPr>
      <w:keepNext/>
      <w:outlineLvl w:val="2"/>
    </w:pPr>
    <w:rPr>
      <w:b/>
    </w:rPr>
  </w:style>
  <w:style w:type="paragraph" w:styleId="984" w:customStyle="1">
    <w:name w:val="Подподпункт"/>
    <w:basedOn w:val="942"/>
    <w:link w:val="1025"/>
    <w:pPr>
      <w:ind w:left="1701" w:hanging="567"/>
      <w:tabs>
        <w:tab w:val="num" w:pos="1701" w:leader="none"/>
      </w:tabs>
    </w:pPr>
  </w:style>
  <w:style w:type="paragraph" w:styleId="985">
    <w:name w:val="List Number"/>
    <w:basedOn w:val="942"/>
    <w:pPr>
      <w:ind w:firstLine="0"/>
      <w:spacing w:before="60"/>
    </w:pPr>
    <w:rPr>
      <w:szCs w:val="24"/>
    </w:rPr>
  </w:style>
  <w:style w:type="paragraph" w:styleId="986" w:customStyle="1">
    <w:name w:val="Текст таблицы"/>
    <w:basedOn w:val="942"/>
    <w:semiHidden/>
    <w:pPr>
      <w:ind w:left="57" w:right="57" w:firstLine="0"/>
      <w:jc w:val="left"/>
      <w:spacing w:before="40" w:after="40" w:line="240" w:lineRule="auto"/>
    </w:pPr>
    <w:rPr>
      <w:sz w:val="24"/>
      <w:szCs w:val="24"/>
    </w:rPr>
  </w:style>
  <w:style w:type="paragraph" w:styleId="987" w:customStyle="1">
    <w:name w:val="Пункт б/н"/>
    <w:basedOn w:val="942"/>
    <w:pPr>
      <w:tabs>
        <w:tab w:val="left" w:pos="1134" w:leader="none"/>
      </w:tabs>
    </w:pPr>
  </w:style>
  <w:style w:type="paragraph" w:styleId="988">
    <w:name w:val="List Bullet"/>
    <w:basedOn w:val="942"/>
    <w:pPr>
      <w:ind w:left="731" w:hanging="374"/>
      <w:spacing w:line="240" w:lineRule="auto"/>
    </w:pPr>
  </w:style>
  <w:style w:type="paragraph" w:styleId="989">
    <w:name w:val="Body Text"/>
    <w:basedOn w:val="942"/>
    <w:link w:val="1018"/>
    <w:uiPriority w:val="99"/>
    <w:pPr>
      <w:ind w:firstLine="0"/>
      <w:jc w:val="left"/>
      <w:spacing w:line="240" w:lineRule="auto"/>
      <w:tabs>
        <w:tab w:val="right" w:pos="9360" w:leader="none"/>
      </w:tabs>
    </w:pPr>
    <w:rPr>
      <w:szCs w:val="24"/>
    </w:rPr>
  </w:style>
  <w:style w:type="paragraph" w:styleId="990">
    <w:name w:val="Balloon Text"/>
    <w:basedOn w:val="942"/>
    <w:link w:val="1022"/>
    <w:rPr>
      <w:rFonts w:ascii="Tahoma" w:hAnsi="Tahoma"/>
      <w:sz w:val="16"/>
      <w:szCs w:val="16"/>
    </w:rPr>
  </w:style>
  <w:style w:type="paragraph" w:styleId="991">
    <w:name w:val="annotation text"/>
    <w:basedOn w:val="942"/>
    <w:semiHidden/>
    <w:rPr>
      <w:sz w:val="20"/>
    </w:rPr>
  </w:style>
  <w:style w:type="paragraph" w:styleId="992">
    <w:name w:val="annotation subject"/>
    <w:basedOn w:val="991"/>
    <w:next w:val="991"/>
    <w:semiHidden/>
    <w:rPr>
      <w:b/>
      <w:bCs/>
    </w:rPr>
  </w:style>
  <w:style w:type="paragraph" w:styleId="993">
    <w:name w:val="List Bullet 3"/>
    <w:basedOn w:val="942"/>
    <w:pPr>
      <w:ind w:firstLine="720"/>
      <w:spacing w:before="120"/>
      <w:tabs>
        <w:tab w:val="num" w:pos="1080" w:leader="none"/>
      </w:tabs>
    </w:pPr>
    <w:rPr>
      <w:i/>
      <w:iCs/>
      <w:sz w:val="24"/>
      <w:szCs w:val="24"/>
    </w:rPr>
  </w:style>
  <w:style w:type="paragraph" w:styleId="994">
    <w:name w:val="List Bullet 2"/>
    <w:basedOn w:val="942"/>
    <w:pPr>
      <w:ind w:left="1429" w:hanging="357"/>
      <w:spacing w:before="120"/>
      <w:widowControl w:val="off"/>
      <w:tabs>
        <w:tab w:val="num" w:pos="1430" w:leader="none"/>
      </w:tabs>
    </w:pPr>
  </w:style>
  <w:style w:type="paragraph" w:styleId="995">
    <w:name w:val="Body Text 2"/>
    <w:basedOn w:val="942"/>
    <w:pPr>
      <w:ind w:firstLine="0"/>
      <w:jc w:val="center"/>
      <w:spacing w:line="240" w:lineRule="auto"/>
      <w:tabs>
        <w:tab w:val="left" w:pos="2201" w:leader="none"/>
      </w:tabs>
    </w:pPr>
  </w:style>
  <w:style w:type="paragraph" w:styleId="996">
    <w:name w:val="Body Text Indent"/>
    <w:basedOn w:val="942"/>
    <w:uiPriority w:val="99"/>
    <w:pPr>
      <w:spacing w:line="240" w:lineRule="auto"/>
    </w:pPr>
    <w:rPr>
      <w:i/>
    </w:rPr>
  </w:style>
  <w:style w:type="paragraph" w:styleId="997">
    <w:name w:val="Body Text Indent 2"/>
    <w:basedOn w:val="942"/>
    <w:pPr>
      <w:spacing w:line="240" w:lineRule="auto"/>
    </w:pPr>
    <w:rPr>
      <w:szCs w:val="24"/>
    </w:rPr>
  </w:style>
  <w:style w:type="paragraph" w:styleId="998" w:customStyle="1">
    <w:name w:val="Стиль Заголовок 1 + по ширине"/>
    <w:basedOn w:val="943"/>
    <w:pPr>
      <w:numPr>
        <w:ilvl w:val="0"/>
        <w:numId w:val="1"/>
      </w:numPr>
      <w:jc w:val="both"/>
      <w:pageBreakBefore w:val="0"/>
    </w:pPr>
    <w:rPr>
      <w:bCs/>
    </w:rPr>
  </w:style>
  <w:style w:type="paragraph" w:styleId="999" w:customStyle="1">
    <w:name w:val="заголовок 3"/>
    <w:basedOn w:val="942"/>
    <w:next w:val="942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paragraph" w:styleId="1000" w:customStyle="1">
    <w:name w:val="Обычный+ без отступа"/>
    <w:basedOn w:val="942"/>
    <w:pPr>
      <w:ind w:firstLine="0"/>
      <w:spacing w:before="120"/>
    </w:pPr>
    <w:rPr>
      <w:rFonts w:eastAsia="MS Mincho"/>
      <w:szCs w:val="28"/>
    </w:rPr>
  </w:style>
  <w:style w:type="paragraph" w:styleId="1001" w:customStyle="1">
    <w:name w:val="Приложение"/>
    <w:basedOn w:val="943"/>
    <w:pPr>
      <w:numPr>
        <w:ilvl w:val="0"/>
        <w:numId w:val="0"/>
      </w:numPr>
      <w:jc w:val="center"/>
      <w:pageBreakBefore w:val="0"/>
      <w:spacing w:before="60" w:after="0" w:line="360" w:lineRule="auto"/>
    </w:pPr>
    <w:rPr>
      <w:rFonts w:cs="Arial"/>
      <w:bCs/>
      <w:sz w:val="28"/>
      <w:szCs w:val="28"/>
    </w:rPr>
  </w:style>
  <w:style w:type="paragraph" w:styleId="1002" w:customStyle="1">
    <w:name w:val="Подподподпункт"/>
    <w:basedOn w:val="942"/>
    <w:pPr>
      <w:ind w:left="2448" w:hanging="1008"/>
      <w:tabs>
        <w:tab w:val="left" w:pos="1134" w:leader="none"/>
        <w:tab w:val="left" w:pos="1701" w:leader="none"/>
        <w:tab w:val="num" w:pos="2448" w:leader="none"/>
      </w:tabs>
    </w:pPr>
  </w:style>
  <w:style w:type="paragraph" w:styleId="1003" w:customStyle="1">
    <w:name w:val="Пункт1"/>
    <w:basedOn w:val="942"/>
    <w:pPr>
      <w:ind w:left="567" w:hanging="567"/>
      <w:jc w:val="center"/>
      <w:spacing w:before="240"/>
      <w:tabs>
        <w:tab w:val="num" w:pos="567" w:leader="none"/>
      </w:tabs>
    </w:pPr>
    <w:rPr>
      <w:rFonts w:ascii="Arial" w:hAnsi="Arial"/>
      <w:b/>
      <w:szCs w:val="28"/>
    </w:rPr>
  </w:style>
  <w:style w:type="paragraph" w:styleId="1004">
    <w:name w:val="Body Text Indent 3"/>
    <w:basedOn w:val="942"/>
    <w:pPr>
      <w:spacing w:line="240" w:lineRule="auto"/>
    </w:pPr>
    <w:rPr>
      <w:i/>
      <w:sz w:val="26"/>
      <w:szCs w:val="26"/>
    </w:rPr>
  </w:style>
  <w:style w:type="table" w:styleId="1005">
    <w:name w:val="Table Grid"/>
    <w:basedOn w:val="953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06" w:customStyle="1">
    <w:name w:val="Знак Знак Знак Знак Знак Знак 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7" w:customStyle="1">
    <w:name w:val="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08" w:customStyle="1">
    <w:name w:val="Знак2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09" w:customStyle="1">
    <w:name w:val="imp"/>
    <w:basedOn w:val="952"/>
  </w:style>
  <w:style w:type="character" w:styleId="1010">
    <w:name w:val="Strong"/>
    <w:uiPriority w:val="22"/>
    <w:qFormat/>
    <w:rPr>
      <w:b/>
      <w:bCs/>
    </w:rPr>
  </w:style>
  <w:style w:type="paragraph" w:styleId="1011" w:customStyle="1">
    <w:name w:val="Знак1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12" w:customStyle="1">
    <w:name w:val="Стиль1"/>
    <w:basedOn w:val="981"/>
    <w:link w:val="1013"/>
    <w:pPr>
      <w:ind w:left="0" w:firstLine="0"/>
      <w:spacing w:line="240" w:lineRule="auto"/>
      <w:tabs>
        <w:tab w:val="clear" w:pos="1134" w:leader="none"/>
      </w:tabs>
    </w:pPr>
    <w:rPr>
      <w:szCs w:val="28"/>
    </w:rPr>
  </w:style>
  <w:style w:type="character" w:styleId="1013" w:customStyle="1">
    <w:name w:val="Стиль1 Знак"/>
    <w:link w:val="1012"/>
    <w:rPr>
      <w:sz w:val="28"/>
      <w:szCs w:val="28"/>
    </w:rPr>
  </w:style>
  <w:style w:type="character" w:styleId="1014" w:customStyle="1">
    <w:name w:val="Подпункт Знак1"/>
    <w:link w:val="981"/>
    <w:rPr>
      <w:sz w:val="28"/>
    </w:rPr>
  </w:style>
  <w:style w:type="paragraph" w:styleId="1015" w:customStyle="1">
    <w:name w:val="Ариал"/>
    <w:basedOn w:val="942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character" w:styleId="1016" w:customStyle="1">
    <w:name w:val="Нижний колонтитул Знак"/>
    <w:link w:val="956"/>
    <w:uiPriority w:val="99"/>
  </w:style>
  <w:style w:type="paragraph" w:styleId="1017" w:customStyle="1">
    <w:name w:val="consnormal"/>
    <w:basedOn w:val="942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character" w:styleId="1018" w:customStyle="1">
    <w:name w:val="Основной текст Знак"/>
    <w:link w:val="989"/>
    <w:uiPriority w:val="99"/>
    <w:rPr>
      <w:sz w:val="28"/>
      <w:szCs w:val="24"/>
    </w:rPr>
  </w:style>
  <w:style w:type="character" w:styleId="1019" w:customStyle="1">
    <w:name w:val="Font Style23"/>
    <w:uiPriority w:val="99"/>
    <w:rPr>
      <w:rFonts w:ascii="Times New Roman" w:hAnsi="Times New Roman" w:cs="Times New Roman"/>
      <w:b/>
      <w:bCs/>
      <w:sz w:val="24"/>
      <w:szCs w:val="24"/>
    </w:rPr>
  </w:style>
  <w:style w:type="paragraph" w:styleId="1020" w:customStyle="1">
    <w:name w:val="Body Text Indent1"/>
    <w:basedOn w:val="942"/>
    <w:pPr>
      <w:ind w:left="540" w:firstLine="27"/>
      <w:spacing w:line="240" w:lineRule="auto"/>
    </w:pPr>
    <w:rPr>
      <w:rFonts w:eastAsia="Calibri"/>
      <w:szCs w:val="28"/>
    </w:rPr>
  </w:style>
  <w:style w:type="paragraph" w:styleId="1021" w:customStyle="1">
    <w:name w:val="ConsPlusNonformat"/>
    <w:pPr>
      <w:widowControl w:val="off"/>
    </w:pPr>
    <w:rPr>
      <w:rFonts w:ascii="Courier New" w:hAnsi="Courier New" w:cs="Courier New"/>
    </w:rPr>
  </w:style>
  <w:style w:type="character" w:styleId="1022" w:customStyle="1">
    <w:name w:val="Текст выноски Знак"/>
    <w:link w:val="990"/>
    <w:rPr>
      <w:rFonts w:ascii="Tahoma" w:hAnsi="Tahoma" w:cs="Tahoma"/>
      <w:sz w:val="16"/>
      <w:szCs w:val="16"/>
    </w:rPr>
  </w:style>
  <w:style w:type="paragraph" w:styleId="1023">
    <w:name w:val="List Paragraph"/>
    <w:basedOn w:val="942"/>
    <w:link w:val="1034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character" w:styleId="1024" w:customStyle="1">
    <w:name w:val="bold1"/>
    <w:rPr>
      <w:b/>
      <w:bCs/>
    </w:rPr>
  </w:style>
  <w:style w:type="character" w:styleId="1025" w:customStyle="1">
    <w:name w:val="Подподпункт Знак"/>
    <w:link w:val="984"/>
    <w:rPr>
      <w:sz w:val="28"/>
    </w:rPr>
  </w:style>
  <w:style w:type="paragraph" w:styleId="1026" w:customStyle="1">
    <w:name w:val="Default"/>
    <w:rPr>
      <w:color w:val="000000"/>
      <w:sz w:val="24"/>
      <w:szCs w:val="24"/>
    </w:rPr>
  </w:style>
  <w:style w:type="paragraph" w:styleId="1027" w:customStyle="1">
    <w:name w:val="3372873BB58A4DED866D2BE34882C06C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</w:rPr>
  </w:style>
  <w:style w:type="paragraph" w:styleId="1028" w:customStyle="1">
    <w:name w:val="Знак Знак Знак Знак Знак Знак 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9" w:customStyle="1">
    <w:name w:val="Times 12"/>
    <w:basedOn w:val="942"/>
    <w:pPr>
      <w:spacing w:line="240" w:lineRule="auto"/>
    </w:pPr>
    <w:rPr>
      <w:bCs/>
      <w:sz w:val="24"/>
      <w:szCs w:val="22"/>
    </w:rPr>
  </w:style>
  <w:style w:type="paragraph" w:styleId="1030" w:customStyle="1">
    <w:name w:val="Пункт Знак1"/>
    <w:basedOn w:val="942"/>
    <w:link w:val="1031"/>
    <w:pPr>
      <w:ind w:left="3545" w:hanging="1134"/>
      <w:tabs>
        <w:tab w:val="num" w:pos="3545" w:leader="none"/>
      </w:tabs>
    </w:pPr>
  </w:style>
  <w:style w:type="character" w:styleId="1031" w:customStyle="1">
    <w:name w:val="Пункт Знак1 Знак1"/>
    <w:link w:val="1030"/>
    <w:rPr>
      <w:sz w:val="28"/>
    </w:rPr>
  </w:style>
  <w:style w:type="paragraph" w:styleId="1032" w:customStyle="1">
    <w:name w:val="Подпункт Знак1 Знак Знак"/>
    <w:basedOn w:val="1030"/>
    <w:link w:val="1033"/>
    <w:pPr>
      <w:ind w:left="1953" w:firstLine="567"/>
      <w:spacing w:line="240" w:lineRule="auto"/>
      <w:tabs>
        <w:tab w:val="num" w:pos="3371" w:leader="none"/>
        <w:tab w:val="clear" w:pos="3545" w:leader="none"/>
      </w:tabs>
    </w:pPr>
    <w:rPr>
      <w:szCs w:val="24"/>
    </w:rPr>
  </w:style>
  <w:style w:type="character" w:styleId="1033" w:customStyle="1">
    <w:name w:val="Подпункт Знак1 Знак Знак Знак"/>
    <w:link w:val="1032"/>
    <w:rPr>
      <w:sz w:val="28"/>
      <w:szCs w:val="24"/>
    </w:rPr>
  </w:style>
  <w:style w:type="character" w:styleId="1034" w:customStyle="1">
    <w:name w:val="Абзац списка Знак"/>
    <w:link w:val="1023"/>
    <w:uiPriority w:val="34"/>
    <w:qFormat/>
    <w:rPr>
      <w:sz w:val="24"/>
      <w:szCs w:val="24"/>
    </w:rPr>
  </w:style>
  <w:style w:type="paragraph" w:styleId="1035" w:customStyle="1">
    <w:name w:val="Знак Знак Знак Знак Знак Знак 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6" w:customStyle="1">
    <w:name w:val="Таблица текст Знак"/>
    <w:link w:val="968"/>
    <w:rPr>
      <w:sz w:val="24"/>
    </w:rPr>
  </w:style>
  <w:style w:type="paragraph" w:styleId="1037" w:customStyle="1">
    <w:name w:val="Стиль2"/>
    <w:basedOn w:val="1039"/>
    <w:uiPriority w:val="99"/>
    <w:pPr>
      <w:numPr>
        <w:ilvl w:val="0"/>
        <w:numId w:val="0"/>
      </w:numPr>
      <w:contextualSpacing w:val="0"/>
      <w:ind w:left="567" w:hanging="567"/>
      <w:keepLines/>
      <w:keepNext/>
      <w:spacing w:after="60" w:line="240" w:lineRule="auto"/>
      <w:widowControl w:val="off"/>
      <w:tabs>
        <w:tab w:val="num" w:pos="567" w:leader="none"/>
        <w:tab w:val="num" w:pos="1492" w:leader="none"/>
      </w:tabs>
      <w:suppressLineNumbers/>
    </w:pPr>
    <w:rPr>
      <w:b/>
      <w:bCs/>
      <w:sz w:val="24"/>
      <w:szCs w:val="24"/>
    </w:rPr>
  </w:style>
  <w:style w:type="paragraph" w:styleId="1038" w:customStyle="1">
    <w:name w:val="Стиль3"/>
    <w:basedOn w:val="997"/>
    <w:pPr>
      <w:ind w:left="1080" w:firstLine="0"/>
      <w:widowControl w:val="off"/>
      <w:tabs>
        <w:tab w:val="num" w:pos="1307" w:leader="none"/>
      </w:tabs>
    </w:pPr>
    <w:rPr>
      <w:sz w:val="24"/>
    </w:rPr>
  </w:style>
  <w:style w:type="paragraph" w:styleId="1039">
    <w:name w:val="List Number 2"/>
    <w:basedOn w:val="942"/>
    <w:semiHidden/>
    <w:unhideWhenUsed/>
    <w:pPr>
      <w:numPr>
        <w:ilvl w:val="0"/>
        <w:numId w:val="8"/>
      </w:numPr>
      <w:contextualSpacing/>
    </w:pPr>
  </w:style>
  <w:style w:type="paragraph" w:styleId="1040" w:customStyle="1">
    <w:name w:val="Знак Знак Знак Знак Знак Знак 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1" w:customStyle="1">
    <w:name w:val="Знак Знак Знак Знак Знак Знак 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table" w:styleId="1042" w:customStyle="1">
    <w:name w:val="Сетка таблицы1"/>
    <w:basedOn w:val="953"/>
    <w:next w:val="1005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3" w:customStyle="1">
    <w:name w:val="Знак Знак Знак Знак Знак Знак 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4" w:customStyle="1">
    <w:name w:val="Знак Знак Знак Знак Знак Знак Знак"/>
    <w:basedOn w:val="942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5">
    <w:name w:val="Normal (Web)"/>
    <w:basedOn w:val="942"/>
    <w:uiPriority w:val="99"/>
    <w:unhideWhenUsed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</w:rPr>
  </w:style>
  <w:style w:type="paragraph" w:styleId="1046" w:customStyle="1">
    <w:name w:val="Пункт2"/>
    <w:basedOn w:val="942"/>
    <w:uiPriority w:val="99"/>
    <w:p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paragraph" w:styleId="1047">
    <w:name w:val="Date"/>
    <w:basedOn w:val="942"/>
    <w:next w:val="942"/>
    <w:link w:val="1048"/>
    <w:uiPriority w:val="99"/>
    <w:pPr>
      <w:ind w:firstLine="0"/>
      <w:spacing w:after="60" w:line="240" w:lineRule="auto"/>
    </w:pPr>
    <w:rPr>
      <w:sz w:val="24"/>
      <w:szCs w:val="24"/>
    </w:rPr>
  </w:style>
  <w:style w:type="character" w:styleId="1048" w:customStyle="1">
    <w:name w:val="Дата Знак"/>
    <w:basedOn w:val="952"/>
    <w:link w:val="1047"/>
    <w:uiPriority w:val="99"/>
    <w:rPr>
      <w:sz w:val="24"/>
      <w:szCs w:val="24"/>
    </w:rPr>
  </w:style>
  <w:style w:type="paragraph" w:styleId="1049" w:customStyle="1">
    <w:name w:val="Table Contents"/>
    <w:basedOn w:val="942"/>
    <w:pPr>
      <w:ind w:firstLine="0"/>
      <w:jc w:val="left"/>
      <w:spacing w:line="240" w:lineRule="auto"/>
      <w:widowControl w:val="off"/>
      <w:suppressLineNumbers/>
    </w:pPr>
    <w:rPr>
      <w:rFonts w:eastAsia="Lucida Sans Unicode" w:cs="Tahoma"/>
      <w:sz w:val="24"/>
      <w:szCs w:val="24"/>
      <w:lang w:bidi="ru-RU"/>
    </w:rPr>
  </w:style>
  <w:style w:type="paragraph" w:styleId="1050" w:customStyle="1">
    <w:name w:val="Заголовок_1"/>
    <w:basedOn w:val="942"/>
    <w:uiPriority w:val="99"/>
    <w:pPr>
      <w:numPr>
        <w:ilvl w:val="0"/>
        <w:numId w:val="38"/>
      </w:numPr>
      <w:ind w:firstLine="0"/>
      <w:jc w:val="center"/>
      <w:keepLines/>
      <w:keepNext/>
      <w:spacing w:before="360" w:after="120" w:line="240" w:lineRule="auto"/>
      <w:outlineLvl w:val="0"/>
    </w:pPr>
    <w:rPr>
      <w:rFonts w:ascii="Arial" w:hAnsi="Arial" w:cs="Arial"/>
      <w:b/>
      <w:bCs/>
      <w:caps/>
      <w:sz w:val="36"/>
      <w:szCs w:val="28"/>
    </w:rPr>
  </w:style>
  <w:style w:type="paragraph" w:styleId="1051" w:customStyle="1">
    <w:name w:val="Пункт_3"/>
    <w:basedOn w:val="942"/>
    <w:uiPriority w:val="99"/>
    <w:pPr>
      <w:numPr>
        <w:ilvl w:val="2"/>
        <w:numId w:val="38"/>
      </w:numPr>
      <w:spacing w:line="240" w:lineRule="auto"/>
    </w:pPr>
    <w:rPr>
      <w:szCs w:val="28"/>
    </w:rPr>
  </w:style>
  <w:style w:type="paragraph" w:styleId="1052" w:customStyle="1">
    <w:name w:val="Пункт_2"/>
    <w:basedOn w:val="942"/>
    <w:uiPriority w:val="99"/>
    <w:pPr>
      <w:numPr>
        <w:ilvl w:val="1"/>
        <w:numId w:val="38"/>
      </w:numPr>
      <w:spacing w:line="240" w:lineRule="auto"/>
    </w:pPr>
  </w:style>
  <w:style w:type="paragraph" w:styleId="1053" w:customStyle="1">
    <w:name w:val="Пункт_5"/>
    <w:basedOn w:val="1051"/>
    <w:uiPriority w:val="99"/>
    <w:pPr>
      <w:numPr>
        <w:ilvl w:val="4"/>
      </w:numPr>
    </w:pPr>
  </w:style>
  <w:style w:type="paragraph" w:styleId="1054" w:customStyle="1">
    <w:name w:val="Нумерованный список"/>
    <w:pPr>
      <w:contextualSpacing w:val="0"/>
      <w:ind w:left="0" w:right="0" w:firstLine="0"/>
      <w:jc w:val="both"/>
      <w:keepLines w:val="0"/>
      <w:keepNext w:val="0"/>
      <w:pageBreakBefore w:val="0"/>
      <w:spacing w:before="60" w:beforeAutospacing="0" w:after="0" w:afterAutospacing="0" w:line="36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_1985" w:customStyle="1">
    <w:name w:val="Абзац списка;Маркер;List Paragraph;название;Bullet Number;Нумерованый список;Bullet List;FooterText;numbered;lp1;Абзац списка2;SL_Абзац списка;List Paragraph1;Абзац списка4;ПАРАГРАФ;f_Абзац 1;Абзац списка3;Абзац списка11;Текстовая;Абзац маркированнный;1"/>
    <w:basedOn w:val="813"/>
    <w:link w:val="1059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Relationship Id="rId12" Type="http://schemas.openxmlformats.org/officeDocument/2006/relationships/footer" Target="footer3.xml" /><Relationship Id="rId13" Type="http://schemas.openxmlformats.org/officeDocument/2006/relationships/customXml" Target="../customXml/item1.xml" /><Relationship Id="rId14" Type="http://schemas.openxmlformats.org/officeDocument/2006/relationships/hyperlink" Target="https://tender.lot-online.ru/fx/gpms/ru.naumen.gpms.ui.published_jsp?uuid=corebo19718u80000pkratufcadiu9us" TargetMode="External"/><Relationship Id="rId15" Type="http://schemas.openxmlformats.org/officeDocument/2006/relationships/hyperlink" Target="https://tender.lot-online.ru/fx/gpms/ru.naumen.gpms.ui.published_jsp?uuid=corebo19718u80000pkratufcadiu9us" TargetMode="External"/><Relationship Id="rId16" Type="http://schemas.openxmlformats.org/officeDocument/2006/relationships/hyperlink" Target="https://tender.lot-online.ru/fx/gpms/ru.naumen.gpms.ui.published_jsp?uuid=corebo19718u80000pkratufcadiu9us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26599-2CD3-45B7-8AFC-F1ABA89EE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ЗАО "Энергосервис - конкурентные закупки"</Company>
  <DocSecurity>0</DocSecurity>
  <HyperlinksChanged>false</HyperlinksChanged>
  <LinksUpToDate>false</LinksUpToDate>
  <Manager>ОАО РАО "ЕЭС России"</Manager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mandel-sv</cp:lastModifiedBy>
  <cp:revision>7</cp:revision>
  <dcterms:created xsi:type="dcterms:W3CDTF">2024-04-08T12:44:00Z</dcterms:created>
  <dcterms:modified xsi:type="dcterms:W3CDTF">2025-11-12T07:43:25Z</dcterms:modified>
</cp:coreProperties>
</file>